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تحقيقى پيرامون آثار خشونت رسانه‏اى××× (1) نام نويسنده در منبع ذكر نشده است</w:t>
      </w:r>
      <w:r w:rsidRPr="00F117D7">
        <w:rPr>
          <w:rFonts w:ascii="Arial" w:hAnsi="Arial" w:cs="B Nazanin"/>
          <w:sz w:val="28"/>
          <w:szCs w:val="28"/>
        </w:rPr>
        <w:t>. ×××</w:t>
      </w:r>
    </w:p>
    <w:p w:rsidR="00CF3601" w:rsidRPr="00F117D7" w:rsidRDefault="00CF3601" w:rsidP="00CF3601">
      <w:pPr>
        <w:pStyle w:val="PlainText"/>
        <w:bidi/>
        <w:jc w:val="both"/>
        <w:rPr>
          <w:rFonts w:ascii="Arial" w:hAnsi="Arial" w:cs="B Nazanin"/>
          <w:sz w:val="28"/>
          <w:szCs w:val="28"/>
        </w:rPr>
      </w:pP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چكيده</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در اين تحقيق به مطالعات گسترده‏اى در مورد اثرات تلويزيون و نظريه‏هاى انتقادى در اين‏باره پرداخته شده است. همچنين اثر خشونت رسانه‏اى بررفتار افراد و نيز تأثير تلويزيون بر نگرش‏هاى خانواده و طبقه اجتماعى و همچنين آثارى از خشونت رسانه‏اى مثل ترس و حساسيت‏زدايى نسبت به‏خشونت واقعى، بررسى شده 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يك سؤال هميشگى تحقيق در تأثيرات رسانه‏ها اين است كه آيا نمايش خشونت رسانه‏اى باعث افزايش سطوح پرخاشگرى و خشونت در افراد جوان‏مى‏شود يا خير؟ برخى كارشناسان مانند رول هاوسمن، استاد دانشگاه ميشيگان استدلال كرده‏اند كه شواهد 50 ساله نشان مى‏دهد كه نمايش خشونت‏رسانه‏اى باعث مى‏شود كه كودكان به طور پرخاشگرانه رفتار كنند و تأثيرات آن سال‏ها بعد، در دوران بزرگسالى نيز باقى مى‏ماند. ديگران مانند جاناتان‏فريدمن از دانشگاه تورنتو معتقدند كه شواهد علمى به آسانى نشان مى‏دهند كه تماشاى خشونت نه در مردم خشونت ايجاد مى‏كند و نه نسبت به آن‏حساسيت‏زدايى مى‏كند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تحقيقات بسيار، نتايج بسيار</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آندرا مارتينز در دانشگاه اوتاوا، در سال 1994 يك بازنگرى جامع از آثار علمى براى راديو تلويزيون و كميته مخابرات كانادا اجرا كرد. او نتيجه گرفت كه‏فقدان اتفاق نظر در مورد آثار رسانه، سه نكته مهم يا محدوديت‏هايى را در تحقيق‏ها نشان مى‏دهد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اول، خيلى سخت است كه خشونت رسانه‏اى را تعريف و اندازه‏گيرى كنيم. برخى كارشناسان كه تأثير خشونت را در برنامه‏هاى تلويزيونى دنبال‏مى‏كردند، (همچون جورج گربند از دانشگاه تمپل)، خشونت را به عنوان عمل (يا تهديدى) به كشتن يا مجروح كردن كسى، مستقل از روش استفاده‏شده يا شرايط پيرامونى، تعريف كرده‏اند. از اين رو گربند خشونت كارتونى را هم در مجموعه شواهدش منظور كرد اما ديگران مثل اساتيد دانشگاه:لاوال، گاى كيوت و جكوز دى‏گيرس، خشونت كارتونى را به خاطر مضحك و غير واقعى بودنش از تحقيقاتشان خارج كردند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دوم، محققان بر سر نوع ارتباطى كه داده‏ها اثبات مى‏كنند، با هم اختلاف دارند. برخى استدلال مى‏كنند كه نمايش خشونت در رسانه‏ها باعث پرخاشگرى‏است. ديگران مى‏گويند، اين دو با هم مرتبطند اما ارتباط علّى و معلولى بين آن‏ها وجود ندارد و عده‏اى نيز مى‏گويند كه كلاً ارتباطى بين اين دو وجودندارد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سوم، حتى آن‏هايى كه به ارتباط بين خشونت رسانه‏اى و پرخاشگرى موافقند، درباره اين‏كه چگونه يكى بر ديگرى اثر مى‏گذارد، با هم اختلاف دارند.بعضى مى‏گويند كه مكانيسم، يك مكانيسم روان‏شناختى است كه در راه و رسمى كه ما ياد مى‏گيريم ريشه دوانده است. براى مثال، هاوسمن استدلال‏كرده است كه كودكان با تقليد كردن اعمال قهرمان رسانه‏اى، آن را به تدريج كسب مى‏كنند. هنگامى كه آن‏ها نمايش‏هاى خشن را تماشا مى‏كنند، يادمى‏گيرند كه متنى را كه خشونت در آن به عنوان روش مناسب حل كردن مشكل استفاده شده، ملكه ذهن خود كنند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ديگر محققان استدلال كرده‏اند كه اين اثرات فيزيولوژيكى خشونت رسانه‏اى است كه رفتار پرخاشگرانه را ايجاد مى‏كند. نمايش تصاوير خشن باافزايش ضربان قلب، تنفس سريع‏تر و فشار خون بالا ارتباط دارد. برخى فكر مى‏كنند كه اين عكس‏العمل «نبرد يا گريز» ساختگى، مردم را مستعدمى‏كند تا در دنياى واقعى به طور پرخاشگرانه عمل كنند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با اين همه، ديگران بر راه‏هايى كه در آن خشونت رسانه‏اى، افكار و احساسات پرخاشگرانه از قبل موجود را آماده عكس‏العمل مى‏كند، تمركز مى‏كنند.آن‏ها استدلال مى‏كنند كه در تصاوير رسانه‏اى كه در آن هم قهرمان و هم شخصيت منفى، براى انتقام گرفتن، از خشونت استفاده مى‏كنند، يك اشتياق‏ويژه براى حمله كردن ترغيب مى‏شود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آندرسون و بريد بوشمن از دانشگاه ايالتى آيووا، ده‏ها تحقيق قبلى را بازبينى كرده‏اند. در سال 2001 آن‏ها گزارش دادند كه كودكان و افراد جوانى كه‏بازى‏هاى ويديويى خشن را (حتى براى دوره‏هاى كوتاه) بازى مى‏كنند، بيشتر احتمال دارد كه در دنياى واقعى به طور پرخاشگرانه رفتار كنند و ديگراين‏كه، اين بازى‏ها بر كودكان پرخاشجو و غير پرخاشجو تأثير منفى دارد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lastRenderedPageBreak/>
        <w:t>در سال 2003، كريج اندرسون و همكاران دانشگاه ايالتى آيووا، نيكلاس كارنگى و جين ابانكس از اداره خدمات بشر تگزاس گزارش دادند كه‏موسيقى‏ها و آوازهاى خشن، افكار پرخاشگرانه و احساسات خصمانه را در بين 500 دانشجوى كالج افزايش داد. آن‏ها نتيجه گرفتند كه «اكنون دلايل‏نظرى و عملى خوبى وجود دارد تا انتظار داشته باشيم كه اثرات موسيقى خشن بر رفتار پرخاشگرانه، شبيه به اثرات نمايش تلويزيونى و فيلم خشن وبازى‏هاى ويدئويى خشن باشد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كودكانى كه شاهد سطوح بالايى از خشونت رسانه‏اى هستند، در خطر بيشترى از رفتار پرخاشگرانه نسبت به بزرگسالان قرار دارند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در سال 1960 لئونارد رارون استاد دانشگاه ميشيگان، 856 دانش‏آموز پايه 3 را كه در يك منطقه نيمه روستايى در ناحيه كلمبياى نيويورك زندگى‏مى‏كردند، مورد مطالعه قرار داد و دريافت، كودكانى كه در خانه تلويزيون تماشا مى‏كردند، در مدرسه رفتار پرخاشگرانه بيشترى داشتند. ارون‏مى‏خواست مسير اين تحقيق را در طول سال‏ها دنبال كند؛ بنابراين او در سال 1971، هنگامى كه كودكانى كه او در مطالعه سال 1960 شركت داده بود 19ساله بودند، دوباره سرى به ناحيه كلمبيا زد. او دريافت كودكانى كه در 8 سالگى برنامه‏هاى تلويزيونى خشن تماشا كرده بودند، در دوران نوجوانى بيشتربا قانون دچار مشكل شده بودند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هنگامى كه ارون و هاوسمن در سال 1982 به كلمبيا بازگشتند، سوژه‏ها 30 ساله بودند. آن‏ها گزارش دادند كه شركت كننده‏هايى كه در سن 8 سالگى‏فيلم‏هاى تلويزيونى خشن‏ترى را تماشا كرده بودند، در بزرگسالى، بيشتر مجرم جنايات جدى هستند؛ بيشتر از خشونت براى تربيت كردن كودكانشان‏استفاده مى‏كنند و با همسرانشان به طور پرخاشگرانه رفتار مى‏كنند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پروفسور موندو لفكوتيز، در سال 1971 يافته‏هاى مشابهى را منتشر كرد. لفكويتز با يك گروه از كودكان 8 ساله مصاحبه كرد و دريافت، پسرانى كه‏فيلم‏هاى تلويزيونى خشن‏ترى را ديده بودند، بيشتر احتمال داشت كه در دنياى واقعى به طور پرخاشگرانه عمل كنند. وقتى كه او ده سال بعد با همان‏كودكان مصاحبه كرد، دريافت كه پسرى كه در 8 سالگى خشونت بيشترى تماشا كرده، در سن 18 سالگى حتماً به طور پرخاشجويانه‏ترى عمل كرده‏است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جفرى جانسون استاد دانشگاه كلمبيا نيز دريافته است كه تأثير، محدود به تلويزيون خشن نيست. جانسون از سال 1975، مسير زندگى 707 خانواده‏در شمال نيويورك را براى 17 سال بررسى كرد. در سال 2002 جانسون گزارش داد كه كودكانى كه هر روز 1 تا 3 ساعت تلويزيون تماشا مى‏كنند، 60%بيشتر از آن‏هايى كه كمتر تلويزيون تماشا مى‏كنند، احتمال دارد كه در سنين 14 تا 16 سالگى همچون بزرگسالان در زد و خوردها و تجاوزها درگيرباشند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جان ميورى استاد دانشگاه ايالتى كانزاس به اين نتيجه رسيد كه در قابل قبول‏ترين تفسير، شكل كلى همبستگى اين است كه روى آوردن زود هنگام‏كودكان به برنامه‏هاى خشن تلويزيون، عاملى در توليد رفتار پرخاشگرانه و جامعه ستيز، در هنگامى كه يك پسر يك مرد جوان مى‏شود، 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با اين وصف، اين رويه تحقيق، مقدار قابل‏توجهى از مناظرات را به خود جلب كرده است. ريچارد رادز. برنده جايزه پوليتزر به تحقيق ارون انتقاد كرده‏است. او استدلال مى‏كند كه نتايج ارون بر پايه مقدارى داده بى‏اهميت است. رادز مدعى شده است كه ارون، در سال 1960 تنها با مشاهده 3 نفر از 24مردى كه سال‏ها بعد به عنوان بزرگسال مرتكب جرائم خشن شدند، نتيجه‏گيرى كرده است. رادز نتيجه گرفت كه كار ارون اگر واقعاً يك تحقيق جعلى‏نباشد، از لحاظ علمى نارسا، مغرضانه و سرهم بندى شده 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كامبريچ رئيس گروه تحقيق ارتباطات مدعى شده است كه گروه آزمايشى جانسون «خيلى كوچك و گمراه كننده است» و ديگر منتقدان نيز مى‏گويند كه‏تحقيق جانسون «نمى‏تواند اين احتمال را كه تلويزيون فقط يك شاخص براى برخى تأثيرهاى روان‏شناختى و محيطى بر پرخاشگرى است، منتفى‏بداند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رواج تلويزيون در يك جامعه، منجر به افزايش رفتار خشن مى‏شود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 xml:space="preserve">محققان با مشاهدات خود قبل و بعد از رواج تلويزيون، همچنين به دنبال ارتباط بين خشونت رسانه‏اى و پرخاشگرى در زندگى واقعى بودند. در اواسطدهه 1970، ويليامز استاد دانشگاه انگليسى كلمبيا، يك روستاى دور افتاده در كلمبياى انگليس را قبل و </w:t>
      </w:r>
      <w:r w:rsidRPr="00F117D7">
        <w:rPr>
          <w:rFonts w:ascii="Arial" w:hAnsi="Arial" w:cs="B Nazanin"/>
          <w:sz w:val="28"/>
          <w:szCs w:val="28"/>
          <w:rtl/>
        </w:rPr>
        <w:lastRenderedPageBreak/>
        <w:t>بعد از اين‏كه تلويزيون در آن رايج شود، مطالعه‏كرد. او دريافت كه 2 سال بعد از اين‏كه تلويزيون از راه رسيد، رويدادهاى خشن 160 درصد افزايش پيدا كرد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گارى گرانزبرگ و جك استينبرينگ، سه منطقه را در مانيتوباى شمالى در سال‏هاى 1970 و اواخر دهه 1980 مطالعه كردند. آن‏ها دريافتند كه 4 سال بعداز اين‏كه تلويزيون در يكى از مناطق رايج شد، ميزان دعواى با مشت و كبودى دور چشم، در ميان كودكان به طور قابل توجهى افزايش يافت. جالب‏اين‏كه، چند روز بعد از اين‏كه يك قسمت از برنامه مشهور «روزهاى شادى» به نمايش گذاشته شد كه در آن يك شخصيت به نام شياطين قرمز بازى‏مى‏كرد، كودكان در آن منطقه باندهاى رقيبى با نام‏هاى شياطين قرمز و شياطين سبز ساختند و دعوا بين دو گروه، اوضاع مدرسه محلى را به شدت درهم‏ريخت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استاد دانشگاه واشنگتن، برندون سنتروال متذكر شد كه افزايش ناگهانى در نرخ جنايات در آمريكاى شمالى، 8 سال بعد از اين‏كه دستگاه‏هاى‏تلويزيونى وارد خانه‏هاى آمريكاى شمالى شدند، اتفاق افتاد. او براى آزمون نظريه‏اش و اثبات اين ارتباط، نرخ جنايات در آفريقاى جنوبى را قبل ازسال 1975 كه تلويزيون توسط دولت ممنوع شده بود، بررسى كرد. او دريافت كه 12 سال بعد از اين‏كه ممنوعيت برطرف شد، نرخ جنايات سر به فلك‏كشيد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خشونت رسانه‏اى باعث ترس در كودكان مى‏شود</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تعدادى از مطالعات نشان داده‏اند كه تماشاى خشونت رسانه‏اى، كودكان را مى‏ترساند و آثار اين امر ممكن است مدت زيادى پايدار باشد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در سال 1998، استادان: سينگر، اسلواك، فريرسون و يورك، 2000 دانش‏آموز پايه سوم تا هشتم را در اوهايو بررسى كردند. آن‏ها گزارش دادند كه‏ميزان آسيب‏هاى روانى (شامل اضطراب، افسردگى و فشار روحى آسيب‏زا) به نسبت تعداد ساعات تلويزيون تماشا شده در هر روز، افزايش يافته‏است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در سال 1999، بررسى 500 پدر و مادر در «رود ايسلند»، كه توسط استاد دانشگاه براون، جوريث اونز هدايت مى‏شد، آشكار كرد كه وجود يك‏تلويزيون در اتاق خواب كودك اين را بيشتر محتمل مى‏سازد كه كودك از آشفتگى‏هاى خواب رنج ببرد. 9% از همه والدين بررسى شده گزارش داده‏اند كه‏كودكانشان به خاطر تماشاى يك نمايش تلويزيونى، دست كم يك‏بار در هفته كابوس مى‏بينند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 xml:space="preserve">تام واندروت در سال 314 </w:t>
      </w:r>
      <w:r w:rsidRPr="00F117D7">
        <w:rPr>
          <w:rFonts w:ascii="Arial" w:hAnsi="Arial" w:cs="B Nazanin"/>
          <w:sz w:val="28"/>
          <w:szCs w:val="28"/>
          <w:rtl/>
        </w:rPr>
        <w:t>1986 كودك 9 تا 12 ساله را مطالعه كرد. او دريافت كه گرچه كودكان به راحتى مى‏توانند كارتون‏ها، فيلم‏هاى وسترن وفيلم‏هاى جنايى جاسوسى را از واقعيت تميز دهند اما آن‏ها اغلب برنامه‏هاى واقع‏گرايانه تلويزيون را با دنياى واقعى اشتباه مى‏كنند. هنگامى كه اين‏كودكان قادر به انجام اين نوع از خشونت نيستند، خيلى بيشتر احتمال دارد كه دچار اضطراب شوند. اين فوق‏العاده مشكل آفرين است، چرا كه كودكان‏گزارش داده‏اند كه برنامه‏هاى واقع‏گرايانه خنده‏دار و مهيج را ترجيح مى‏دهند. همان‏طور كه جكور دى گويس در سال 2002 گزارش داد، يك كودك‏خردسال‏تر كمتر احتمال دارد كه قادر باشد، محتواى خشن را به عنوان خشونت بشناسد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در سال 1999، پرفسور جان كانتور و كى. هرسيون 138 دانشجوى دانشگاه را مطالعه كردند و دريافتند كه خاطرات تصاوير وحشتناك رسانه، تا سال‏هابعد در اذهان آن‏ها ادامه داشته و تعداد قابل توجهى از شركت كنندگان در اين مطالعه، اضطراب داشته‏اند. بيش از 90% گزارش دادند كه آن‏ها سال‏هاآثار ترس از تصاوير ديده شده را در آشفتگى‏هاى خواب يا اجتناب از برخى موقعيت‏ها را (مثل كودكان) تجربه كرده‏اند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خشونت رسانه‏اى حساسيت مردم را نسبت به خشونت واقعى كم مى‏كند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تعداد بسيار زيادى از مطالعات صورت گرفته در دهه 1970 نشان دادند كه افرادى كه به كرات در معرض خشونت رسانه‏اى قرار داشتند، از خشونت دردنياى واقعى كمتر ناراحت مى‏شوند و دلسوزى كمترى براى قربانى آن دارند. براى مثال، پروفسور وى.جى.كلاين، ار.جى.كرافت و اس. كورير پسران‏جوانى را در يك دوره دو ساله مطالعه كردند. در سال 1973 آن‏ها گزارش دادند كه پسرانى كه بيش از 25 ساعت در هفته تلويزيون تماشا مى‏كنند، به‏طور قابل توجهى كمتر از كسانى كه 4 ساعت يا كمتر در هفته تلويزيون تماشا مى‏كنند، احتمال دارد كه با خشونت دنياى واقعى تحريك شوند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lastRenderedPageBreak/>
        <w:t>وقتى كه فرد موليتور و كن هيرسچ اين رويه تحقيق را در سال 1994 بازبينى كردند، كار آن‏ها را تأييد كردند و گفتند كه كودكان اگر نمايش‏هاى تلويزيونى‏يا فيلم‏هايى را كه حاوى محتويات خشن هستند تماشا كنند، بيشتر احتمال دارد كه رفتار پرخاشگرانه را در دنياى واقعى تحمل كنند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افرادى كه مقدار زيادى خشونت تلويزيونى تماشا مى‏كنند، از جهان واقعى بيشتر مى‏ترسند</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جرج گربنر طولانى‏ترين تحقيق جارى (تحقيق در طول زمان) را اجرا كرده است. تحقيق تعيين كننده او حاكى از اين است كه تماشاچيان تلويزيون‏گرايش به اين دارند كه دنيا را با همان روش‏هايى كه با تصاوير تلويزيون هماهنگ است درك كنند. هنگامى كه درك بينندگان از جهان به جايى مى‏رسدكه با نمايشى كه در تلويزيون ديده‏اند مطابقت داشته باشد، آن‏ها منفعل‏تر، مضطرب‏تر و بيمناك‏تر مى‏شوند. گربنر اين را به عنوان يك بيمارى در درك‏جهان توصيف كرد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تحقيق گربنر روشن كرد، آن‏هايى كه ميزان زيادترى تلويزيون تماشا مى‏كنند بيشتر احتمال دارد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Pr>
        <w:t xml:space="preserve"> </w:t>
      </w:r>
      <w:r w:rsidRPr="00F117D7">
        <w:rPr>
          <w:rFonts w:ascii="Arial" w:hAnsi="Arial" w:cs="B Nazanin"/>
          <w:sz w:val="28"/>
          <w:szCs w:val="28"/>
          <w:rtl/>
        </w:rPr>
        <w:t>از قربانى جنايت شدن، هراس داشته باشند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Pr>
        <w:t xml:space="preserve"> </w:t>
      </w:r>
      <w:r w:rsidRPr="00F117D7">
        <w:rPr>
          <w:rFonts w:ascii="Arial" w:hAnsi="Arial" w:cs="B Nazanin"/>
          <w:sz w:val="28"/>
          <w:szCs w:val="28"/>
          <w:rtl/>
        </w:rPr>
        <w:t>معتقد باشند كه همسايگانشان نامطمئن هستند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Pr>
        <w:t xml:space="preserve"> </w:t>
      </w:r>
      <w:r w:rsidRPr="00F117D7">
        <w:rPr>
          <w:rFonts w:ascii="Arial" w:hAnsi="Arial" w:cs="B Nazanin"/>
          <w:sz w:val="28"/>
          <w:szCs w:val="28"/>
          <w:rtl/>
        </w:rPr>
        <w:t>معتقد باشند كه «ترس از جنايت يك مشكل شخصى بسيار جدى 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Pr>
        <w:t xml:space="preserve"> </w:t>
      </w:r>
      <w:r w:rsidRPr="00F117D7">
        <w:rPr>
          <w:rFonts w:ascii="Arial" w:hAnsi="Arial" w:cs="B Nazanin"/>
          <w:sz w:val="28"/>
          <w:szCs w:val="28"/>
          <w:rtl/>
        </w:rPr>
        <w:t>مى‏پندارند كه نرخ جنايات در حال افزايش است؛ حتى اگر اين‏گونه نباشد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آندره گوسلين، جكوزدى گويز و گاى پكوات تصميم گرفتند كه تئورى گربنر را در مورد جامعه كانادا امتحان كنند. آن‏ها 360 دانشجوى دانشگاه را بررسى‏كردند و دريافتند كه بينندگان تلويزيون معتقدند كه دنيا يك مكان خيلى خطرناك است. با اين وصف آن‏ها دريافتند كه بينندگان تلويزيون واقعاً بيشتراحساس ترس مى‏كنند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نگرش‏هاى خانواده به مضمون خشن، مهم‏تر از تصور افراد 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تعداد زيادى از مطالعات اظهار كرده‏اند كه رسانه يكى از متغيرهايى است كه كودكان را در معرض خطر رفتار پرخاشگرانه قرار مى‏دهد. براى مثال، يك‏مطالعه نروژى كه شامل 20 پسر جوان بود روشن كرد كه فقدان روابط صحيح خانوادگى و عدم كنترل خشونت‏هاى واقعى كه بچه‏ها شاهد آن بودند،(نسبت به خشونت رسانه‏اى كه آن‏ها ديده بودند) عامل مهم‏ترى براى رفتار پرخاشگرانه بود. اين امر همچنين نشان مى‏دهد مشاهده خشونت دنياى‏واقعى به اضافه نمايش خشونت رسانه، يك «بار سنگين» از وقايع خشن را ايجاد مى‏كند. پسرانى كه اين بار اضافى را تجربه كرده‏اند، بيشتر احتمال‏دارد كه از خشونت براى ايجاد و استوار كردن هويتشان به عنوان عضوى از يك گروه ضداجتماعى و منزوى استفاده كنند</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از طرفى ديگر، محققان گزارش داده‏اند كه نگرش‏هاى خانوادگى به خشونت رسانه‏اى، مى‏تواند اثر آن را بر كودكان كاهش دهد. هاوسمن و باچاراچ‏نتيجه گرفتند كه نگرش‏هاى خانواده و طبقه اجتماعى به نمايش خشونت در تلويزيون، تعيين كننده قوى‏ترى براى نگرش به پرخاشگرى است كه البته‏اين يك عامل مهم اما ضعيف است</w:t>
      </w:r>
      <w:r w:rsidRPr="00F117D7">
        <w:rPr>
          <w:rFonts w:ascii="Arial" w:hAnsi="Arial" w:cs="B Nazanin"/>
          <w:sz w:val="28"/>
          <w:szCs w:val="28"/>
        </w:rPr>
        <w:t>.</w:t>
      </w:r>
    </w:p>
    <w:p w:rsidR="00CF3601" w:rsidRPr="00F117D7" w:rsidRDefault="00CF3601" w:rsidP="00CF3601">
      <w:pPr>
        <w:pStyle w:val="PlainText"/>
        <w:bidi/>
        <w:jc w:val="both"/>
        <w:rPr>
          <w:rFonts w:ascii="Arial" w:hAnsi="Arial" w:cs="B Nazanin"/>
          <w:sz w:val="28"/>
          <w:szCs w:val="28"/>
        </w:rPr>
      </w:pPr>
      <w:r w:rsidRPr="00F117D7">
        <w:rPr>
          <w:rFonts w:ascii="Arial" w:hAnsi="Arial" w:cs="B Nazanin"/>
          <w:sz w:val="28"/>
          <w:szCs w:val="28"/>
          <w:rtl/>
        </w:rPr>
        <w:t>منبع</w:t>
      </w:r>
      <w:r w:rsidRPr="00F117D7">
        <w:rPr>
          <w:rFonts w:ascii="Arial" w:hAnsi="Arial" w:cs="B Nazanin"/>
          <w:sz w:val="28"/>
          <w:szCs w:val="28"/>
        </w:rPr>
        <w:t>: WWW.media.awareness.ca</w:t>
      </w:r>
    </w:p>
    <w:p w:rsidR="005701A4" w:rsidRDefault="005701A4"/>
    <w:sectPr w:rsidR="005701A4" w:rsidSect="00CF3601">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3601"/>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69F4"/>
    <w:rsid w:val="00831A09"/>
    <w:rsid w:val="00836E7F"/>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4450"/>
    <w:rsid w:val="008C0A5C"/>
    <w:rsid w:val="008C78E2"/>
    <w:rsid w:val="008D39AE"/>
    <w:rsid w:val="008D6CD8"/>
    <w:rsid w:val="008F0190"/>
    <w:rsid w:val="008F2647"/>
    <w:rsid w:val="008F2C2F"/>
    <w:rsid w:val="008F2F03"/>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34B0"/>
    <w:rsid w:val="00A23C7F"/>
    <w:rsid w:val="00A2488F"/>
    <w:rsid w:val="00A26E61"/>
    <w:rsid w:val="00A331CE"/>
    <w:rsid w:val="00A42EA6"/>
    <w:rsid w:val="00A42ED1"/>
    <w:rsid w:val="00A51129"/>
    <w:rsid w:val="00A53865"/>
    <w:rsid w:val="00A571A0"/>
    <w:rsid w:val="00A614BE"/>
    <w:rsid w:val="00A71939"/>
    <w:rsid w:val="00A71C80"/>
    <w:rsid w:val="00A85DDF"/>
    <w:rsid w:val="00A9292F"/>
    <w:rsid w:val="00A95D80"/>
    <w:rsid w:val="00AA1F83"/>
    <w:rsid w:val="00AA6459"/>
    <w:rsid w:val="00AA6491"/>
    <w:rsid w:val="00AA7C32"/>
    <w:rsid w:val="00AB27BD"/>
    <w:rsid w:val="00AB7614"/>
    <w:rsid w:val="00AC345C"/>
    <w:rsid w:val="00AC4012"/>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3601"/>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4821"/>
    <w:rsid w:val="00E0517F"/>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7FBF"/>
    <w:rsid w:val="00E8254E"/>
    <w:rsid w:val="00E84A34"/>
    <w:rsid w:val="00E85A00"/>
    <w:rsid w:val="00E9124F"/>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paragraph" w:styleId="PlainText">
    <w:name w:val="Plain Text"/>
    <w:basedOn w:val="Normal"/>
    <w:link w:val="PlainTextChar"/>
    <w:rsid w:val="00CF3601"/>
    <w:pPr>
      <w:bidi w:val="0"/>
      <w:spacing w:line="240" w:lineRule="auto"/>
      <w:ind w:firstLine="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CF3601"/>
    <w:rPr>
      <w:rFonts w:ascii="Courier New" w:eastAsia="Times New Roman"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1905</Words>
  <Characters>10862</Characters>
  <Application>Microsoft Office Word</Application>
  <DocSecurity>0</DocSecurity>
  <Lines>90</Lines>
  <Paragraphs>25</Paragraphs>
  <ScaleCrop>false</ScaleCrop>
  <Company>MRT Win2Farsi</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2013-07-15T07:09:00Z</dcterms:created>
  <dcterms:modified xsi:type="dcterms:W3CDTF">2013-07-15T07:09:00Z</dcterms:modified>
</cp:coreProperties>
</file>