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1C" w:rsidRPr="00264E31" w:rsidRDefault="0064681C" w:rsidP="00264E31">
      <w:pPr>
        <w:pStyle w:val="NormalWeb"/>
        <w:bidi/>
        <w:jc w:val="both"/>
        <w:rPr>
          <w:rFonts w:cs="B Nazanin"/>
          <w:sz w:val="28"/>
          <w:szCs w:val="28"/>
        </w:rPr>
      </w:pPr>
      <w:r w:rsidRPr="00264E31">
        <w:rPr>
          <w:rFonts w:cs="B Nazanin"/>
          <w:sz w:val="28"/>
          <w:szCs w:val="28"/>
          <w:rtl/>
        </w:rPr>
        <w:t>تشکیک در فلسفه اسلامی، یکی از مهم‌ترین مسائل هستی‌شناختی به شمار می‌رود. اما با توجه به گزارشات و متون فلسفیِ تاریخ فلسفه اسلامی، این مسأله در دو روند مطرح شده است: یکی تشکیک عامی که نظریه مشائی است و دیگری تشکیک خاصی که نظریه صدرایی است. اما نوشته حاضر با نقد و بررسی موارد متعدد عینی و مسائل فراوانی از فلسفه اسلامی، به نوع سوم و دقیق‌تری از تشکیک توجه می‌دهد که در فلسفه اسلامی سابقه‌ای ندارد؛ اما با این همه، این نظریه چنان مستحکم و عینی است که بسیاری از فلاسفه و دانشمندان اسلامی در فلسفه و علوم مختلف با مبنای چنین تشکیکی به بررسی مسائل پرداخته‌اند</w:t>
      </w:r>
      <w:r w:rsidRPr="00264E31">
        <w:rPr>
          <w:rFonts w:cs="B Nazanin"/>
          <w:sz w:val="28"/>
          <w:szCs w:val="28"/>
        </w:rPr>
        <w:t>.</w:t>
      </w:r>
    </w:p>
    <w:p w:rsidR="0064681C" w:rsidRPr="00264E31" w:rsidRDefault="0064681C" w:rsidP="00264E31">
      <w:pPr>
        <w:pStyle w:val="NormalWeb"/>
        <w:bidi/>
        <w:jc w:val="both"/>
        <w:rPr>
          <w:rFonts w:cs="B Nazanin"/>
          <w:sz w:val="28"/>
          <w:szCs w:val="28"/>
        </w:rPr>
      </w:pPr>
      <w:r w:rsidRPr="00264E31">
        <w:rPr>
          <w:rFonts w:cs="B Nazanin"/>
          <w:sz w:val="28"/>
          <w:szCs w:val="28"/>
          <w:rtl/>
        </w:rPr>
        <w:t>نویسنده در این نوشتار سعی بر این داشته است که، نظریه فازیِ منطق و ریاضیِ فازی و همچنین نظریه فازی علم الکترونیک و نانوتکنولوژی را با بررسی بیشتر موارد و مصادیق عینی، به عنوان نظریه تشکیک متداول و فازی (تو در تو) در فلسفه اسلامی مطرح سازد، که نظریه‌ای منطبق با واقعیت عینی اشیا و امور هستی بوده و راه کار و کاربردی دقیق برای فلسفه در همه ابعاد هستی می‌باشد</w:t>
      </w:r>
      <w:r w:rsidRPr="00264E31">
        <w:rPr>
          <w:rFonts w:cs="B Nazanin"/>
          <w:sz w:val="28"/>
          <w:szCs w:val="28"/>
        </w:rPr>
        <w:t xml:space="preserve">. </w:t>
      </w:r>
      <w:r w:rsidRPr="00264E31">
        <w:rPr>
          <w:rFonts w:cs="B Nazanin"/>
          <w:sz w:val="28"/>
          <w:szCs w:val="28"/>
          <w:rtl/>
        </w:rPr>
        <w:t>در راستای تبیین این نظریه، به بررسی و تشریح امور عینی فیزیکی مثل نور، رنگ، حرارت و امور عینی دیگری مثل فرآیند احساس موجودات، ارتباط روح و بدن آدمی، مراتب کمال و نقص روح، مراتب تودرتوی موجودات، مراتب متداخل عوالم، و کیفیت و فرآیند خواب و بیداری انسان پرداخت شده است. بررسی همه این امور، نه به عنوان استدلال تشبیهی یا استقرائی، بلکه به عنوان امور عینی مشاهده‌ای که یقینی و یقین آورند صورت گرفته است. در لابه‌لای این بررسی‌ها به تعبیرها و گفتارهای فلاسفه و</w:t>
      </w:r>
    </w:p>
    <w:p w:rsidR="0064681C" w:rsidRPr="00264E31" w:rsidRDefault="0064681C" w:rsidP="00264E31">
      <w:pPr>
        <w:pStyle w:val="NormalWeb"/>
        <w:bidi/>
        <w:jc w:val="both"/>
        <w:rPr>
          <w:rFonts w:cs="B Nazanin"/>
          <w:sz w:val="28"/>
          <w:szCs w:val="28"/>
        </w:rPr>
      </w:pPr>
      <w:r w:rsidRPr="00264E31">
        <w:rPr>
          <w:rFonts w:cs="B Nazanin"/>
          <w:sz w:val="28"/>
          <w:szCs w:val="28"/>
        </w:rPr>
        <w:t>77</w:t>
      </w:r>
    </w:p>
    <w:p w:rsidR="004B194B" w:rsidRPr="00264E31" w:rsidRDefault="004B194B" w:rsidP="00264E31">
      <w:pPr>
        <w:pStyle w:val="NormalWeb"/>
        <w:bidi/>
        <w:jc w:val="both"/>
        <w:rPr>
          <w:rFonts w:cs="B Nazanin"/>
          <w:sz w:val="28"/>
          <w:szCs w:val="28"/>
        </w:rPr>
      </w:pPr>
      <w:r w:rsidRPr="00264E31">
        <w:rPr>
          <w:rFonts w:cs="B Nazanin"/>
          <w:sz w:val="28"/>
          <w:szCs w:val="28"/>
          <w:rtl/>
        </w:rPr>
        <w:t>دانشمندان مختلف نیز استناد شده است، که بیشتر جنبه تأییدی دارد نه اثباتی؛ زیرا این نظریه برای نخستین بار در این مقاله مطرح و بررسی شده است</w:t>
      </w:r>
      <w:r w:rsidRPr="00264E31">
        <w:rPr>
          <w:rFonts w:cs="B Nazanin"/>
          <w:sz w:val="28"/>
          <w:szCs w:val="28"/>
        </w:rPr>
        <w:t>.</w:t>
      </w:r>
    </w:p>
    <w:p w:rsidR="004B194B" w:rsidRPr="00264E31" w:rsidRDefault="004B194B" w:rsidP="00264E31">
      <w:pPr>
        <w:pStyle w:val="NormalWeb"/>
        <w:bidi/>
        <w:jc w:val="both"/>
        <w:rPr>
          <w:rFonts w:cs="B Nazanin"/>
          <w:sz w:val="28"/>
          <w:szCs w:val="28"/>
        </w:rPr>
      </w:pPr>
      <w:r w:rsidRPr="00264E31">
        <w:rPr>
          <w:rFonts w:cs="B Nazanin"/>
          <w:sz w:val="28"/>
          <w:szCs w:val="28"/>
          <w:rtl/>
        </w:rPr>
        <w:t>نویسنده در پایان مقاله مصادیقی بیش از سی مورد در فلسفه اسلامی یاد کرده است که با مبنا و رویکرد فازی قابل فهم، تبیین و اثبات هستند. علاوه بر این، پانزده مورد از مباحث مختلف فلسفه اسلامی را مطرح نموده که به‌طور مشخص از ضرورت و اهمیت برخوردارند که بررسی و پژوهش در آنها، با رویکرد فازی بسیار ضروری و راهگشا می‌باشد. نکات حایز اهمیتی درباره تشکیک فازی در بیان روایات بیش از ده مورد یادآور شده که بررسی آنها نیز افق‌های نوینی در مسائل معرفتی و علمی ـ فلسفی خواهد گشود</w:t>
      </w:r>
      <w:r w:rsidRPr="00264E31">
        <w:rPr>
          <w:rFonts w:cs="B Nazanin"/>
          <w:sz w:val="28"/>
          <w:szCs w:val="28"/>
        </w:rPr>
        <w:t>.</w:t>
      </w:r>
    </w:p>
    <w:p w:rsidR="004B194B" w:rsidRPr="00264E31" w:rsidRDefault="004B194B" w:rsidP="00264E31">
      <w:pPr>
        <w:pStyle w:val="NormalWeb"/>
        <w:bidi/>
        <w:jc w:val="both"/>
        <w:rPr>
          <w:rFonts w:cs="B Nazanin"/>
          <w:sz w:val="28"/>
          <w:szCs w:val="28"/>
        </w:rPr>
      </w:pPr>
      <w:r w:rsidRPr="00264E31">
        <w:rPr>
          <w:rFonts w:cs="B Nazanin"/>
          <w:sz w:val="28"/>
          <w:szCs w:val="28"/>
          <w:rtl/>
        </w:rPr>
        <w:t>یکی دیگر از نکاتی که نویسنده بسیار مورد تأکید قرار داده است، عمومیت و جامعیت این نگرش در همه شاخه‌های علوم اعم از تجربی مثل فیزیک، کیهان‌شناسی، شیمی، زیست مولکولی، ژنتیک، و انسانی مثل روان‌شناسی، جامعه‌شناسی، سیاست، حقوق؛ و اسلامی مثل فقه، فلسفه، عرفان و اخلاق و همچنین آموزه‌های دینی مثل نماز، تقوا، فضیلت‌های اخلاقی ـ معنوی، و اصول عقیدتی مثل توحید، نبوت، امامت و معاد می‌باشد که تحقیق و پژوهش در این حوزه‌ها از اهمیت شایانی برخوردار می‌باشد</w:t>
      </w:r>
      <w:r w:rsidRPr="00264E31">
        <w:rPr>
          <w:rFonts w:cs="B Nazanin"/>
          <w:sz w:val="28"/>
          <w:szCs w:val="28"/>
        </w:rPr>
        <w:t>.</w:t>
      </w:r>
    </w:p>
    <w:p w:rsidR="004B194B" w:rsidRPr="00264E31" w:rsidRDefault="004B194B" w:rsidP="00264E31">
      <w:pPr>
        <w:pStyle w:val="NormalWeb"/>
        <w:bidi/>
        <w:jc w:val="both"/>
        <w:rPr>
          <w:rFonts w:cs="B Nazanin"/>
          <w:sz w:val="28"/>
          <w:szCs w:val="28"/>
        </w:rPr>
      </w:pPr>
      <w:r w:rsidRPr="00264E31">
        <w:rPr>
          <w:rFonts w:cs="B Nazanin"/>
          <w:sz w:val="28"/>
          <w:szCs w:val="28"/>
        </w:rPr>
        <w:t>78</w:t>
      </w:r>
    </w:p>
    <w:p w:rsidR="009406C8" w:rsidRPr="00264E31" w:rsidRDefault="009406C8" w:rsidP="00264E31">
      <w:pPr>
        <w:bidi/>
        <w:jc w:val="both"/>
        <w:rPr>
          <w:rFonts w:cs="B Nazanin"/>
          <w:sz w:val="24"/>
          <w:szCs w:val="24"/>
        </w:rPr>
      </w:pPr>
    </w:p>
    <w:p w:rsidR="00E0287B" w:rsidRPr="00264E31" w:rsidRDefault="00E0287B" w:rsidP="00264E31">
      <w:pPr>
        <w:pStyle w:val="NormalWeb"/>
        <w:bidi/>
        <w:jc w:val="both"/>
        <w:rPr>
          <w:rFonts w:cs="B Nazanin"/>
          <w:sz w:val="28"/>
          <w:szCs w:val="28"/>
        </w:rPr>
      </w:pPr>
      <w:r w:rsidRPr="00264E31">
        <w:rPr>
          <w:rFonts w:cs="B Nazanin"/>
          <w:sz w:val="28"/>
          <w:szCs w:val="28"/>
          <w:rtl/>
        </w:rPr>
        <w:t>بین 15 خرداد و آنان را ثابت کنند و سرانجام آیت اللّه‌ طالقانی بعد از تحمل یک سال حبس آزاد شدند. ایشان همواره تأکید می‌کردند که یک مبارزه هم باید ملی باشد و هم مذهبی. به همین دلیل در سال‌های نزدیک به انقلاب، ایشان را پدر معنوی انقلاب می‌دانستند. مخالفت ایشان با سازمان مجاهدین هم بدین علت بود که آنها به ظاهر، خود را همگام با انقلاب نشان می‌دادند اما در باطن ساز مخالف می‌نواختند</w:t>
      </w:r>
      <w:r w:rsidRPr="00264E31">
        <w:rPr>
          <w:rFonts w:cs="B Nazanin"/>
          <w:sz w:val="28"/>
          <w:szCs w:val="28"/>
        </w:rPr>
        <w:t>.</w:t>
      </w:r>
    </w:p>
    <w:p w:rsidR="00E0287B" w:rsidRPr="00264E31" w:rsidRDefault="00E0287B" w:rsidP="00264E31">
      <w:pPr>
        <w:pStyle w:val="NormalWeb"/>
        <w:bidi/>
        <w:jc w:val="both"/>
        <w:rPr>
          <w:rFonts w:cs="B Nazanin"/>
          <w:sz w:val="28"/>
          <w:szCs w:val="28"/>
        </w:rPr>
      </w:pPr>
      <w:r w:rsidRPr="00264E31">
        <w:rPr>
          <w:rFonts w:cs="B Nazanin"/>
          <w:sz w:val="28"/>
          <w:szCs w:val="28"/>
        </w:rPr>
        <w:t>79</w:t>
      </w:r>
    </w:p>
    <w:p w:rsidR="00E0287B" w:rsidRPr="00264E31" w:rsidRDefault="00E0287B" w:rsidP="00264E31">
      <w:pPr>
        <w:bidi/>
        <w:jc w:val="both"/>
        <w:rPr>
          <w:rFonts w:cs="B Nazanin"/>
          <w:sz w:val="24"/>
          <w:szCs w:val="24"/>
        </w:rPr>
      </w:pPr>
    </w:p>
    <w:sectPr w:rsidR="00E0287B" w:rsidRPr="00264E31" w:rsidSect="0070385E">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81C"/>
    <w:rsid w:val="00264E31"/>
    <w:rsid w:val="004B194B"/>
    <w:rsid w:val="0064681C"/>
    <w:rsid w:val="006B69F6"/>
    <w:rsid w:val="0070385E"/>
    <w:rsid w:val="009406C8"/>
    <w:rsid w:val="00A2767D"/>
    <w:rsid w:val="00C52367"/>
    <w:rsid w:val="00C60A55"/>
    <w:rsid w:val="00E0287B"/>
    <w:rsid w:val="00EA3F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8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1957242">
      <w:bodyDiv w:val="1"/>
      <w:marLeft w:val="0"/>
      <w:marRight w:val="0"/>
      <w:marTop w:val="0"/>
      <w:marBottom w:val="0"/>
      <w:divBdr>
        <w:top w:val="none" w:sz="0" w:space="0" w:color="auto"/>
        <w:left w:val="none" w:sz="0" w:space="0" w:color="auto"/>
        <w:bottom w:val="none" w:sz="0" w:space="0" w:color="auto"/>
        <w:right w:val="none" w:sz="0" w:space="0" w:color="auto"/>
      </w:divBdr>
      <w:divsChild>
        <w:div w:id="884489915">
          <w:marLeft w:val="0"/>
          <w:marRight w:val="0"/>
          <w:marTop w:val="0"/>
          <w:marBottom w:val="0"/>
          <w:divBdr>
            <w:top w:val="none" w:sz="0" w:space="0" w:color="auto"/>
            <w:left w:val="none" w:sz="0" w:space="0" w:color="auto"/>
            <w:bottom w:val="none" w:sz="0" w:space="0" w:color="auto"/>
            <w:right w:val="none" w:sz="0" w:space="0" w:color="auto"/>
          </w:divBdr>
          <w:divsChild>
            <w:div w:id="15302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5186">
      <w:bodyDiv w:val="1"/>
      <w:marLeft w:val="0"/>
      <w:marRight w:val="0"/>
      <w:marTop w:val="0"/>
      <w:marBottom w:val="0"/>
      <w:divBdr>
        <w:top w:val="none" w:sz="0" w:space="0" w:color="auto"/>
        <w:left w:val="none" w:sz="0" w:space="0" w:color="auto"/>
        <w:bottom w:val="none" w:sz="0" w:space="0" w:color="auto"/>
        <w:right w:val="none" w:sz="0" w:space="0" w:color="auto"/>
      </w:divBdr>
      <w:divsChild>
        <w:div w:id="1050611048">
          <w:marLeft w:val="0"/>
          <w:marRight w:val="0"/>
          <w:marTop w:val="0"/>
          <w:marBottom w:val="0"/>
          <w:divBdr>
            <w:top w:val="none" w:sz="0" w:space="0" w:color="auto"/>
            <w:left w:val="none" w:sz="0" w:space="0" w:color="auto"/>
            <w:bottom w:val="none" w:sz="0" w:space="0" w:color="auto"/>
            <w:right w:val="none" w:sz="0" w:space="0" w:color="auto"/>
          </w:divBdr>
          <w:divsChild>
            <w:div w:id="1631399240">
              <w:marLeft w:val="0"/>
              <w:marRight w:val="0"/>
              <w:marTop w:val="0"/>
              <w:marBottom w:val="0"/>
              <w:divBdr>
                <w:top w:val="none" w:sz="0" w:space="0" w:color="auto"/>
                <w:left w:val="none" w:sz="0" w:space="0" w:color="auto"/>
                <w:bottom w:val="none" w:sz="0" w:space="0" w:color="auto"/>
                <w:right w:val="none" w:sz="0" w:space="0" w:color="auto"/>
              </w:divBdr>
              <w:divsChild>
                <w:div w:id="12499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96986">
      <w:bodyDiv w:val="1"/>
      <w:marLeft w:val="0"/>
      <w:marRight w:val="0"/>
      <w:marTop w:val="0"/>
      <w:marBottom w:val="0"/>
      <w:divBdr>
        <w:top w:val="none" w:sz="0" w:space="0" w:color="auto"/>
        <w:left w:val="none" w:sz="0" w:space="0" w:color="auto"/>
        <w:bottom w:val="none" w:sz="0" w:space="0" w:color="auto"/>
        <w:right w:val="none" w:sz="0" w:space="0" w:color="auto"/>
      </w:divBdr>
      <w:divsChild>
        <w:div w:id="1027023580">
          <w:marLeft w:val="0"/>
          <w:marRight w:val="0"/>
          <w:marTop w:val="0"/>
          <w:marBottom w:val="0"/>
          <w:divBdr>
            <w:top w:val="none" w:sz="0" w:space="0" w:color="auto"/>
            <w:left w:val="none" w:sz="0" w:space="0" w:color="auto"/>
            <w:bottom w:val="none" w:sz="0" w:space="0" w:color="auto"/>
            <w:right w:val="none" w:sz="0" w:space="0" w:color="auto"/>
          </w:divBdr>
          <w:divsChild>
            <w:div w:id="992562470">
              <w:marLeft w:val="0"/>
              <w:marRight w:val="0"/>
              <w:marTop w:val="0"/>
              <w:marBottom w:val="0"/>
              <w:divBdr>
                <w:top w:val="none" w:sz="0" w:space="0" w:color="auto"/>
                <w:left w:val="none" w:sz="0" w:space="0" w:color="auto"/>
                <w:bottom w:val="none" w:sz="0" w:space="0" w:color="auto"/>
                <w:right w:val="none" w:sz="0" w:space="0" w:color="auto"/>
              </w:divBdr>
              <w:divsChild>
                <w:div w:id="1112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418</Words>
  <Characters>2388</Characters>
  <Application>Microsoft Office Word</Application>
  <DocSecurity>0</DocSecurity>
  <Lines>19</Lines>
  <Paragraphs>5</Paragraphs>
  <ScaleCrop>false</ScaleCrop>
  <Company>MRT www.Win2Farsi.com</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Acer</cp:lastModifiedBy>
  <cp:revision>6</cp:revision>
  <dcterms:created xsi:type="dcterms:W3CDTF">2013-01-14T05:30:00Z</dcterms:created>
  <dcterms:modified xsi:type="dcterms:W3CDTF">2013-01-25T17:14:00Z</dcterms:modified>
</cp:coreProperties>
</file>