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2EF" w:rsidRPr="00793896" w:rsidRDefault="00D672EF" w:rsidP="00793896">
      <w:pPr>
        <w:bidi/>
        <w:spacing w:after="0" w:line="240" w:lineRule="auto"/>
        <w:jc w:val="center"/>
        <w:rPr>
          <w:rFonts w:ascii="Times New Roman" w:eastAsia="Times New Roman" w:hAnsi="Times New Roman" w:cs="B Nazanin"/>
          <w:b/>
          <w:bCs/>
          <w:sz w:val="28"/>
          <w:szCs w:val="28"/>
          <w:rtl/>
        </w:rPr>
      </w:pPr>
      <w:r w:rsidRPr="00793896">
        <w:rPr>
          <w:rFonts w:ascii="Times New Roman" w:eastAsia="Times New Roman" w:hAnsi="Times New Roman" w:cs="B Nazanin"/>
          <w:b/>
          <w:bCs/>
          <w:sz w:val="28"/>
          <w:szCs w:val="28"/>
          <w:rtl/>
        </w:rPr>
        <w:t xml:space="preserve">پرسمان - اردیبهشت ماه سال 1391 شماره 112 </w:t>
      </w:r>
      <w:r w:rsidR="00793896">
        <w:rPr>
          <w:rFonts w:ascii="Times New Roman" w:eastAsia="Times New Roman" w:hAnsi="Times New Roman" w:cs="B Nazanin"/>
          <w:b/>
          <w:bCs/>
          <w:sz w:val="28"/>
          <w:szCs w:val="28"/>
          <w:rtl/>
        </w:rPr>
        <w:tab/>
      </w:r>
      <w:r w:rsidR="00793896">
        <w:rPr>
          <w:rFonts w:ascii="Times New Roman" w:eastAsia="Times New Roman" w:hAnsi="Times New Roman" w:cs="B Nazanin"/>
          <w:b/>
          <w:bCs/>
          <w:sz w:val="28"/>
          <w:szCs w:val="28"/>
          <w:rtl/>
        </w:rPr>
        <w:tab/>
      </w:r>
      <w:r w:rsidRPr="00793896">
        <w:rPr>
          <w:rFonts w:ascii="Times New Roman" w:eastAsia="Times New Roman" w:hAnsi="Times New Roman" w:cs="B Nazanin"/>
          <w:b/>
          <w:bCs/>
          <w:sz w:val="28"/>
          <w:szCs w:val="28"/>
          <w:rtl/>
        </w:rPr>
        <w:t>مطهری، نماد عقل سرخ</w:t>
      </w:r>
    </w:p>
    <w:p w:rsidR="00793896" w:rsidRPr="00793896" w:rsidRDefault="00793896" w:rsidP="00793896">
      <w:pPr>
        <w:bidi/>
        <w:spacing w:after="0" w:line="240" w:lineRule="auto"/>
        <w:jc w:val="both"/>
        <w:rPr>
          <w:rFonts w:ascii="Times New Roman" w:eastAsia="Times New Roman" w:hAnsi="Times New Roman" w:cs="B Nazanin"/>
          <w:sz w:val="28"/>
          <w:szCs w:val="28"/>
        </w:rPr>
      </w:pPr>
    </w:p>
    <w:p w:rsidR="00D672EF" w:rsidRPr="00793896" w:rsidRDefault="00D672EF" w:rsidP="00793896">
      <w:pPr>
        <w:bidi/>
        <w:spacing w:after="0"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 xml:space="preserve">کلمات کلیدی ماشینی : مطهری، استاد مطهری، استاد، حلاج، عرفان، تاویل، حافظ، شخصیت، </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سال پنجاه و هفت است و انقلاب شعله ور شده است و ذهن و زبان جامعه در تصرف شور و حال حماسی است؛ فرقی نمی کند چه کسی باشی و از چه صنف و چه فرقه ای؟ جوان یا پیر، روحانی یا دانشگاهی، روشنفکر یا عامی، مذهبی یا غیر مذهبی... تب سیاست چنان بالاست که بازار تفکر و فلسفه و حکمت و عرفان را از رونق انداخته است و کتاب های فلسفی و تئوریک، آن مایه به کار می آیند که ویترین سیاست را تکمیل کنند</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در این میانه، «استاد مرتضی مطهری»، وضعیتی یگانه دارد. او که سنگربان بیدار تفکر دینی است، گر چه آنی از تکالیف انقلابی اش غافل نمی شود، بیش و پیش از هر چیز، برای رصد جریان های فکری، قد بر افراشته است</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 xml:space="preserve">چاپ هشتم «علل گرایش به مادیگری»، قرار است در چنین حال و هوایی، به جامعه تقدیم شود. استاد نوشتن مقدمه ای ـ نسبتاً ـ مبسوط را بر این چاپ ضرورت می بیند. خلاصه مقدمه از این قرار است که تفکر ماتریالیستی ـ پس از پنجاه سال تلاش بی ثمر ـ با تشبث به دو نیرنگ نو به میدان آمده است؛ یکی </w:t>
      </w:r>
      <w:r w:rsidRPr="00793896">
        <w:rPr>
          <w:rFonts w:ascii="Times New Roman" w:eastAsia="Times New Roman" w:hAnsi="Times New Roman" w:cs="B Nazanin"/>
          <w:sz w:val="28"/>
          <w:szCs w:val="28"/>
        </w:rPr>
        <w:t>«</w:t>
      </w:r>
      <w:r w:rsidRPr="00793896">
        <w:rPr>
          <w:rFonts w:ascii="Times New Roman" w:eastAsia="Times New Roman" w:hAnsi="Times New Roman" w:cs="B Nazanin"/>
          <w:sz w:val="28"/>
          <w:szCs w:val="28"/>
          <w:rtl/>
        </w:rPr>
        <w:t>تحریف شخصیت ها» و دیگری «تفسیر مادی آیات قرآن با حفظ پوشش ظاهری آنها» و این هر دو برای مسخ و مصادره فرهنگ دینی و معنوی، به نفع مادی گری است</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استاد برای پرهیز از کلی گویی، با ذکر سه مثال به مصداق ها می پردازد، که تأمل در زوایای هر یک از آنها، روشن گری های بسیاری به ارمغان می آورد</w:t>
      </w:r>
      <w:r w:rsidRPr="00793896">
        <w:rPr>
          <w:rFonts w:ascii="Times New Roman" w:eastAsia="Times New Roman" w:hAnsi="Times New Roman" w:cs="B Nazanin"/>
          <w:sz w:val="28"/>
          <w:szCs w:val="28"/>
        </w:rPr>
        <w:t xml:space="preserve">. </w:t>
      </w:r>
      <w:r w:rsidRPr="00793896">
        <w:rPr>
          <w:rFonts w:ascii="Times New Roman" w:eastAsia="Times New Roman" w:hAnsi="Times New Roman" w:cs="B Nazanin"/>
          <w:sz w:val="28"/>
          <w:szCs w:val="28"/>
          <w:rtl/>
        </w:rPr>
        <w:t>اگر استاد مجال می یافت، بی تردید بازخوانی مصداق ها و تحلیل جوانب ماجرا، گستره ای فراتر از یک مقدمه می یافت؛ اما شاید احساس پایان مجال و درک و دریافت نزدیکی هنگام کوچ ابدی، او را وا می دارد که به اغتنام فرصت، در اندازه های یک مقدمه، سطرهایی هوشمندانه را به یادگار بگذارد؛ تا بعد</w:t>
      </w:r>
      <w:r w:rsidRPr="00793896">
        <w:rPr>
          <w:rFonts w:ascii="Times New Roman" w:eastAsia="Times New Roman" w:hAnsi="Times New Roman" w:cs="B Nazanin"/>
          <w:sz w:val="28"/>
          <w:szCs w:val="28"/>
        </w:rPr>
        <w:t xml:space="preserve">... </w:t>
      </w:r>
      <w:r w:rsidRPr="00793896">
        <w:rPr>
          <w:rFonts w:ascii="Times New Roman" w:eastAsia="Times New Roman" w:hAnsi="Times New Roman" w:cs="B Nazanin"/>
          <w:sz w:val="28"/>
          <w:szCs w:val="28"/>
          <w:rtl/>
        </w:rPr>
        <w:t>اما دیگر فرصتی در کار نیست و استاد چند ماه پس از این مقدمه به شهادت می رسد. بر این سطرها درنگی می کنیم</w:t>
      </w:r>
      <w:r w:rsidRPr="00793896">
        <w:rPr>
          <w:rFonts w:ascii="Times New Roman" w:eastAsia="Times New Roman" w:hAnsi="Times New Roman" w:cs="B Nazanin"/>
          <w:sz w:val="28"/>
          <w:szCs w:val="28"/>
        </w:rPr>
        <w:t>.</w:t>
      </w:r>
      <w:bookmarkStart w:id="0" w:name="_GoBack"/>
      <w:bookmarkEnd w:id="0"/>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شاهد مثال نخست، پیش درآمد «احمد شاملو» بر دیوان خواجه شیراز است که بنا بر روایت استاد مطهری، تحریف شخصیت معنوی حافظ و مصادره او به نفع الحاد است. وی در این باره چنین نگاشته است: «یکی از شاعران به اصطلاح نو پرداز، اخیراً دیوان لسان الغیب، خواجه شمس الدین محمد شیرازی را با یک سلسله اصلاحات که داستان «شَدُرُ سنا» را به یاد می آورد، به چاپ رسانیده و مقدمه ای بر آن نوشته است؛ مقدمه خویش را این چنین آغاز می کند</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Pr>
        <w:t>«</w:t>
      </w:r>
      <w:r w:rsidRPr="00793896">
        <w:rPr>
          <w:rFonts w:ascii="Times New Roman" w:eastAsia="Times New Roman" w:hAnsi="Times New Roman" w:cs="B Nazanin"/>
          <w:sz w:val="28"/>
          <w:szCs w:val="28"/>
          <w:rtl/>
        </w:rPr>
        <w:t>به راستی کیست این قلندر یک لاقبای کفر گو که در تاریک ترین ادوار سلطه ریا کاران زهد فروش، در ناهار بازار زهد</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lastRenderedPageBreak/>
        <w:t>نمایان... یک تنه وعده رستاخیز را انکار می کند؛ خدا را عشق و شیطان را عقل می خواند و شلنگ انداز و دست افشان می گذرد</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که</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این خرقه که من دارم، در رهن شراب اولی</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وین دفتر بی معنی، غرق می ناب اولی</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Pr>
        <w:t xml:space="preserve">... </w:t>
      </w:r>
      <w:r w:rsidRPr="00793896">
        <w:rPr>
          <w:rFonts w:ascii="Times New Roman" w:eastAsia="Times New Roman" w:hAnsi="Times New Roman" w:cs="B Nazanin"/>
          <w:sz w:val="28"/>
          <w:szCs w:val="28"/>
          <w:rtl/>
        </w:rPr>
        <w:t>و یا آشکارا به باور نداشتن مواعید مذهبی اقرار می کند؛</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Pr>
        <w:t xml:space="preserve">... </w:t>
      </w:r>
      <w:r w:rsidRPr="00793896">
        <w:rPr>
          <w:rFonts w:ascii="Times New Roman" w:eastAsia="Times New Roman" w:hAnsi="Times New Roman" w:cs="B Nazanin"/>
          <w:sz w:val="28"/>
          <w:szCs w:val="28"/>
          <w:rtl/>
        </w:rPr>
        <w:t>کیست این «کافر» که چنین به حرمت در صف پیغمبران و اولیاء اللهش می نشانند».1</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استاد مطهری می تواند با تمسک به شان فیلسوفانه و فقیهانه خود، پرداختن به مقدمه یک دیوان شعر را دون شأن خود دانسته، سکوت اختیار کند یا آن که با پشتوانه قرار دادن شور و حال انقلابی و اسلامی مردم مسلمان، با حکم به تکفیر شاعر، غائله را فیصله دهد یا آن که ـ دست کم ـ با طعن بر رگه هایی از ملامت گری او، شخصیتش را به چالش بکشاند؛ رگه هایی پر رنگ که خود شاعر نو پرداز از ابراز آنها ابایی نداشت؛ اما استاد «زمان شناسانه»، شأن متفکرانه خود را پاس می دارد که مقام نقد فکر و تضارب آرا از مقام تکفیر و ناسزا جداست و در دفاع از دین و معنویت و ادب و عرفان، می توان ـ و باید ـ به اخلاق و ادب پای بند بود و دهان به دشنام نیالود که التزام به این دو، به هیچ روی، نشان فقدان حمّیت و غیرت دینی نیست</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از سوی دیگر، استاد مطهری شاگرد برجسته علامه بی بدیل، طباطبایی بزرگ است که با حافظ، انسی عمیق دارد و گذشته از روایت شاگردان برجسته روحانی وی، روایت سید حسین نصر در زندگی نامه خود نوشته اش و روایت داریوش شایگان در زیر آسمان های جهان، حکایت دل دادگی و دلبری شگفت علامه در آفاق مهرورزی به لسان الغیب است. با چنین پیشینه ای، «استاد مطهری» در مجال محدود یک مقدمه جدی، می کوشد تا با تکیه بر استدلال و آوردن ابیات متعدد از شعر حافظ و استناد به اقوال معاصران حافظ درباره شخصیت او، سستی تفسیر و تأویل امثال شاملو را آشکار سازد؛ ضمن آن که با حسرتمندی از کوتاهی مجال، به سلسله گفتارهای دانشکده الهیات درباره «عرفان حافظ» اشاره کرده، آرزو می کند که به تنظیم و نشر یادداشت های بیشترش در این باره توفیق یابد.2</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 xml:space="preserve">شاملو ـ البته ـ در سال های بعد با بیان تاویل های شگفت و تحلیل های جنجالی از شعر سعدی و شاهنامه فردوسی نشان داد که با نگاهی ژورنالیستی و خام دستانه از این جنس، هیچ گونه همدلی را در شاعران و ادیبان نوپردازی که با متون کلاسیک ادب فارسی انس و آشنایی دارند، بر نمی انگیزد؛ بلکه بر عکس، چنان که در ماجرای </w:t>
      </w:r>
      <w:r w:rsidRPr="00793896">
        <w:rPr>
          <w:rFonts w:ascii="Times New Roman" w:eastAsia="Times New Roman" w:hAnsi="Times New Roman" w:cs="B Nazanin"/>
          <w:sz w:val="28"/>
          <w:szCs w:val="28"/>
          <w:rtl/>
        </w:rPr>
        <w:lastRenderedPageBreak/>
        <w:t>حکیم طوس دیدیم، اعتراض صریح بسیاری از ادیبان و روشنفکران و حتی دوستان و شیفتگان خویش را نیز برانگیخت که از خیل آن اعتراض ها، تعابیر مهدی اخوان ثالث شاعر نامدار معاصر بیشتر در یادها ماند</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گذشت سه دهه از این ماجرا، بر آن قاعده بنیادین، مهر تأکید زد که هر متن و تأویلی ـ در فرجام ـ باید از سنخیت برخودار باشد و در رویکردهای هرمنوتیک، نمی توان هر تأویلی را بر هر متنی تحمیل کرد و به یقین، برخی از متن ها از پذیرش بسیاری از تأویل ها امتناع می کنند. از این رو، متنی از جنس شعر حافظ، هرگز تأویل های ماتریالیستی را بر نمی تابد و به دیگر سخن، چنین تأویلی از شعر حافظ، همان قدر راه به بیراهه می برد که تأویل عرفانی و معنوی از شعر «الف با مداد»! و در یک کلام، ضرورت بازخوانی و تحلیل های نو از متون کهن، هرگز به منزله مجوز ارائه تأویل های معارض با ذات نخواهد بود</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 xml:space="preserve">شاهد مثال دیگر در مقدمه استاد مطهری بر کتاب علل گرایش به مادیگری، کتابی به نام «حلّاج» است. نویسنده این کتاب هم شاعری است نوپرداز و سمت گیری وی در روی آوردن به حلاج، در تداوم همان پروژه تحریف شخصیت هاست که به تعبیر استاد، «کوششی است تا از این راه، یعنی تحریف شخصیت های مورد احترام، اذهان را متوجه مکتب و فلسفه خود بنمایند». تفاوت این کتاب با کتاب پیش در این است که در نوشته ای مفصل و با صراحت و تاکیدی دو چندان بر متد دیالکتیک مارکسیستی، به مصادره حلاج می نشیند. استاد مطهری می نویسد: «یکی دیگر از شخصیت هایی که اخیراً مادی مسلکان برای توجیه خود، دست به تحریف او زده اند، حسین بن منصور حلاج است. حلاج، یک شخصیت جنجال انگیز در جهان اسلام است... برخی مادی مسلکان معاصر خواسته اند از حلاج، یک مادی منکر خدا بسازند که نه تنها اعتقاد به خدا نداشته است، به هیچ وجه هم نمی خواسته با ادعای حلول خدا در خود، به خدا رسیدن و خدا شدن خود را تبلیغ کند؛ بلکه می خواسته اندیشه انکار خدا را تبلیغ کند... طبق نظر این مدعیان، حلاج نه تنها یک ماتریالیست تمام عیار بوده، منطقاً نیز از منطق دیالکتیک پیروی می کرده است؛ یعنی ماتریالیسم او، ماتریالیسم دیالکتیک بوده و همان فلسفه و منطق را داشته که هزار سال بعد از او، مارکس وانگلس با تکیه بر ماتریالیسم فویر باخ و منطق هگل، در جهان علم کردند... کتابی اخیراً به نام حلاج منتشر شده... این کتاب مدعی است که حلاج در دوره آخر عمر خود، یک ماتریالیست تمام عیار بوده و مدعی است که افکار مترقی ماتریالیستی حلاج، همه در آن عده از آثار او بوده که سوزانده شده و اثری از آنها در دست نیست. آن چه بر دوره الحاد او دلالت دارد، «انا الحق» گفتن او و یا اشعار معروف </w:t>
      </w:r>
      <w:r w:rsidRPr="00793896">
        <w:rPr>
          <w:rFonts w:ascii="Times New Roman" w:eastAsia="Times New Roman" w:hAnsi="Times New Roman" w:cs="B Nazanin"/>
          <w:sz w:val="28"/>
          <w:szCs w:val="28"/>
        </w:rPr>
        <w:t>«</w:t>
      </w:r>
      <w:r w:rsidRPr="00793896">
        <w:rPr>
          <w:rFonts w:ascii="Times New Roman" w:eastAsia="Times New Roman" w:hAnsi="Times New Roman" w:cs="B Nazanin"/>
          <w:sz w:val="28"/>
          <w:szCs w:val="28"/>
          <w:rtl/>
        </w:rPr>
        <w:t>اُقْتُلُونی یا ثقاتی انّ فی قَتْلی حیاتی» است که به اصطلاح، مفهومی دیالکتیکی دارد؛ زیرا زندگی را در درون مرگ جست وجو می کند</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نیرنگ دیگری که استاد مطهری در این مقدمه بیدار گرانه به آن اشاره می کند، «تفسیر مادی از قرآن» است؛ نمونه دیگری</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lastRenderedPageBreak/>
        <w:t>از دستاویزهای تبلیغی مادی گرایان، برای مسخ مفاهیم دینی و مبارزه با مذهب، با تمسک به شیوه قدیمی «مذهب علیه مذهب»؛ البته در جامه و جمالی نو</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استاد در این باره نوشته است</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Pr>
        <w:t>«</w:t>
      </w:r>
      <w:r w:rsidRPr="00793896">
        <w:rPr>
          <w:rFonts w:ascii="Times New Roman" w:eastAsia="Times New Roman" w:hAnsi="Times New Roman" w:cs="B Nazanin"/>
          <w:sz w:val="28"/>
          <w:szCs w:val="28"/>
          <w:rtl/>
        </w:rPr>
        <w:t>ماتریالیسم در ایران، دریکی دو سال اخیر، به نیرنگ تازه ای، بسی خطرناک تر از تحریف شخصیت ها دست یازیده است و آن، تحریف آیات قرآن و تفسیر مادی محتوای آیات، با حفظ پوشش ظاهری الفاظ است... من ترجیح می دهم در مطالبی که می خواهم تذکر دهم، خود این نویسنده و یا نویسندگان را که فرض ما فعلاً بر این است که اغفال شده اند و قصد خیانتی در کار نیست، مخاطب قرار دهم</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عزیزان من!... کی و کجا وضع تفسیر مفسر آن چنان بوده که شما نوشته اید؟ آیا تاریخ را با چشم به هم گذاشتن و خطابه سرایی می توان رقم زد؟. .. از نظر شما... تمام مسائل قرآن بر محور انقلاب و فلسفه انقلاب است. خداوند، حزب تشکیل داده و حزب خدا، همه نیروهای متکامل جهان، دارای هر عقیده و مذهب می باشند... شما از وجدان انقلاب و صداقت انقلابی دم می زنید؛ همان وجدان و صداقت انقلابی شما را به گواهی می طلبم».4</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وی در ادامه، با نقل قول های متعددی از جزوه ای که گروه فرقان به نام تفسیر منتشر کرده اند، دیدگاه های آنان را به چالش می کشد. در این جزوه تفسیری، با مهارتی محیرالعقول، مفاهیمی چون دنیا، آخرت، ایمان، غیب، نماز و از همه مهم تر خداوند، تفسیر به رأی شده و مفاهیم دیالکتیکی مارکسیستی، براساس متد تفسیر انقلابی بیرون کشیده می شود و استاد با تأکید بر آن که آن زمان هنوز برایشان معلوم نشده که نویسندگان آن تفسیر عجیب و غریب اغفال شده اند یا آن که عامدانه قصد خیانت در سر دارند، آنها را با تعبیر «عزیزان من»، مورد خطاب قرار می دهند و شگفتا که اندکی بعد با واژگانی از جنس گلوله، پاسخ می گیرند! فرقان و فرقانیان و آدم های همسو در آن سال ها، کتاب ها و جزوه های متعددی با رویکرد تفسیر ماتریالیستی از قرآن منتشر کردند</w:t>
      </w:r>
      <w:r w:rsidRPr="00793896">
        <w:rPr>
          <w:rFonts w:ascii="Times New Roman" w:eastAsia="Times New Roman" w:hAnsi="Times New Roman" w:cs="B Nazanin"/>
          <w:sz w:val="28"/>
          <w:szCs w:val="28"/>
        </w:rPr>
        <w:t xml:space="preserve">. </w:t>
      </w:r>
      <w:r w:rsidRPr="00793896">
        <w:rPr>
          <w:rFonts w:ascii="Times New Roman" w:eastAsia="Times New Roman" w:hAnsi="Times New Roman" w:cs="B Nazanin"/>
          <w:sz w:val="28"/>
          <w:szCs w:val="28"/>
          <w:rtl/>
        </w:rPr>
        <w:t>ماجرای فکری این طیف می تواند دستمایه پژوهشی مفصل قرار گیرد که با تحلیل و بازشناسی و ریشه یابی و درنگ بر پی آمدهای چنین رویکردی، می تواند مایه روشن گری راه دوستداران اندیشه اصیل دینی گردد و راه را بر بازگشت دوباره رویکردهایی هم سنخ با این طیف در فضای فکری جامعه، مسدود کند</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 xml:space="preserve">زندگی فرهنگی و فکری استاد مرتضی مطهری، سرشار از این دست فرازهای زیباست؛ اما در این جا دوست دارم بر این نکته تاکید کنم که گرچه آن آیینه دار خرد و روشنی را در فلسفه و فقه و تفسیر و کلام و اصول، شأنی پر ارج و والا ست، اما برای من و امثال من، آن بخش از زندگی پر برکت وی جذاب تر است که به حضور هوشمندانه در زمان و زمان شناسی مربوط می شود. از نحوه تعامل استاد با شخصیت هایی چون مهندس بازرگان، دکتر سحابی، دکتر شریعتی، دکتر زرین کوب، دکتر معین، آیت الله صالحی نجف آبادی، دکتر سید حسین نصر و ماجراهای فکری جذابی چون ماجرای مجله زن روز و نوشتن مجموعه مقالات نظام حقوق زن در اسلام، نقد وی </w:t>
      </w:r>
      <w:r w:rsidRPr="00793896">
        <w:rPr>
          <w:rFonts w:ascii="Times New Roman" w:eastAsia="Times New Roman" w:hAnsi="Times New Roman" w:cs="B Nazanin"/>
          <w:sz w:val="28"/>
          <w:szCs w:val="28"/>
          <w:rtl/>
        </w:rPr>
        <w:lastRenderedPageBreak/>
        <w:t>بر فیلم پورونوگراف آن روزگار، ماجرای کتاب مسئله حجاب و پاسخ های استاد به دیدگاه های متحجرانه یکی از فضلا، داستان کتاب سوزی ایران و مصر و شکل گیری خدمات متقابل اسلام و ایران، قصه دانشکده ادبیات و چالش با آریانپور، حکایت داستان راستان و چشیدن ملامت ظاهر بینان پرت افتاده از زمان و نیز شیوه حضور وی در عرصه مبارزات سیاسی می توان به روح والا، دل دردمند، سر پرشور و جان سرشار از خردورزی و زمان شناسی آن عاشق غریب و آن فرزانه فقید، پی برد که با تمام توش و توان، با علم و عمل و صدق و صفا و عشق ورزی در روزگار غربت دین، به مرزبانی آفاق اسلام اصیل برخاست؛ اسلام زلال و بی غباری که نه به تحجر و پیرایه و خرافه تن می دهد و نه به مسخ و استحاله و التقاط</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نکته دیگر آن که هر گونه تلاشی در مصادره فرزانگانی نظیر استاد مطهری به نفع جناح ها دسته های سیاسی، خیانت به مطهری و آرمان و ایمانش و فرو کاستن و تقلیل و تنازل اندیشه های والای اوست</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فارغ از داوری درباره همه این ماجراهای فرهنگی و فکری، جنس مواجهه استاد با چنین قضایایی در نوع خود، درس آموز است و از جمله درس ها این که در روزگار نو و در مواجهه با صورت های نو به نو از تردید و تشکیک و انکار، به جای طرد و تکفیر باید پرسش ها و شک ها و انکارهای نهفته در این رویکردها را شکافت و به آنها پاسخ روشن و مستدل داد و به جای زخمی کردن افراد ـ که اغلب برانگیختن عنادها و عصبیت ها را در پی دارد ـ باید به ریشه ها، زمینه ها و جریان ها پرداخت؛ تا راه، خضوع در برابر حقیقت، مسدود نشود</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اکنون سی سال از کوچ مطهری گذشته است و بسیاری از مخاطبان او در ماجراهای فکری نیز در گذشته اند جریان های فکری همچنان در آمد و شدند؛ با تفسیرهای محیر العقول تر از دین و عرفان و ادبیات و این بار اما بُن مایه های ماتریالیستی از قبله شرقی رو برگردانده و سر و دل به آرمان شهر غربی سپرده اند</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اکنون از این چشم انداز زمانی، به روشنی می توان دید که آن شیخ شهید، نماد «عقل سرخ» است و این تعبیر، زیباترین و موجزترین تعبیری است که زندگی و مرگ استاد شهید، مرتضی مطهری را بیان می کند</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t>پی نوشت ها</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Pr>
        <w:t xml:space="preserve">1. </w:t>
      </w:r>
      <w:r w:rsidRPr="00793896">
        <w:rPr>
          <w:rFonts w:ascii="Times New Roman" w:eastAsia="Times New Roman" w:hAnsi="Times New Roman" w:cs="B Nazanin"/>
          <w:sz w:val="28"/>
          <w:szCs w:val="28"/>
          <w:rtl/>
        </w:rPr>
        <w:t>علل گرایش به مادیگری، ص 15</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Pr>
        <w:t xml:space="preserve">2. </w:t>
      </w:r>
      <w:r w:rsidRPr="00793896">
        <w:rPr>
          <w:rFonts w:ascii="Times New Roman" w:eastAsia="Times New Roman" w:hAnsi="Times New Roman" w:cs="B Nazanin"/>
          <w:sz w:val="28"/>
          <w:szCs w:val="28"/>
          <w:rtl/>
        </w:rPr>
        <w:t>این پنج گفتار بعدها در کتابی به نام «عرفان حافظ» منتشر شد</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Pr>
        <w:t xml:space="preserve">3. </w:t>
      </w:r>
      <w:r w:rsidRPr="00793896">
        <w:rPr>
          <w:rFonts w:ascii="Times New Roman" w:eastAsia="Times New Roman" w:hAnsi="Times New Roman" w:cs="B Nazanin"/>
          <w:sz w:val="28"/>
          <w:szCs w:val="28"/>
          <w:rtl/>
        </w:rPr>
        <w:t>علل گرایش به مادیگری، ص 26</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Pr>
        <w:t xml:space="preserve">4. </w:t>
      </w:r>
      <w:r w:rsidRPr="00793896">
        <w:rPr>
          <w:rFonts w:ascii="Times New Roman" w:eastAsia="Times New Roman" w:hAnsi="Times New Roman" w:cs="B Nazanin"/>
          <w:sz w:val="28"/>
          <w:szCs w:val="28"/>
          <w:rtl/>
        </w:rPr>
        <w:t>همان، ص 24</w:t>
      </w:r>
      <w:r w:rsidRPr="00793896">
        <w:rPr>
          <w:rFonts w:ascii="Times New Roman" w:eastAsia="Times New Roman" w:hAnsi="Times New Roman" w:cs="B Nazanin"/>
          <w:sz w:val="28"/>
          <w:szCs w:val="28"/>
        </w:rPr>
        <w:t>.</w:t>
      </w:r>
    </w:p>
    <w:p w:rsidR="00D672EF" w:rsidRPr="00793896" w:rsidRDefault="00D672EF" w:rsidP="00793896">
      <w:pPr>
        <w:bidi/>
        <w:spacing w:before="100" w:beforeAutospacing="1" w:after="100" w:afterAutospacing="1" w:line="240" w:lineRule="auto"/>
        <w:jc w:val="both"/>
        <w:rPr>
          <w:rFonts w:ascii="Times New Roman" w:eastAsia="Times New Roman" w:hAnsi="Times New Roman" w:cs="B Nazanin"/>
          <w:sz w:val="28"/>
          <w:szCs w:val="28"/>
        </w:rPr>
      </w:pPr>
      <w:r w:rsidRPr="00793896">
        <w:rPr>
          <w:rFonts w:ascii="Times New Roman" w:eastAsia="Times New Roman" w:hAnsi="Times New Roman" w:cs="B Nazanin"/>
          <w:sz w:val="28"/>
          <w:szCs w:val="28"/>
          <w:rtl/>
        </w:rPr>
        <w:lastRenderedPageBreak/>
        <w:t>منبع:هفته نامه پگاه حوزه، شماره 253</w:t>
      </w:r>
      <w:r w:rsidRPr="00793896">
        <w:rPr>
          <w:rFonts w:ascii="Times New Roman" w:eastAsia="Times New Roman" w:hAnsi="Times New Roman" w:cs="B Nazanin"/>
          <w:sz w:val="28"/>
          <w:szCs w:val="28"/>
        </w:rPr>
        <w:t>.</w:t>
      </w:r>
    </w:p>
    <w:p w:rsidR="00AA2BE4" w:rsidRPr="00793896" w:rsidRDefault="00AA2BE4" w:rsidP="00793896">
      <w:pPr>
        <w:bidi/>
        <w:jc w:val="both"/>
        <w:rPr>
          <w:rFonts w:cs="B Nazanin"/>
          <w:sz w:val="24"/>
          <w:szCs w:val="24"/>
        </w:rPr>
      </w:pPr>
    </w:p>
    <w:sectPr w:rsidR="00AA2BE4" w:rsidRPr="00793896" w:rsidSect="00C904C6">
      <w:footerReference w:type="default" r:id="rId6"/>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B86" w:rsidRDefault="00047B86" w:rsidP="00C904C6">
      <w:pPr>
        <w:spacing w:after="0" w:line="240" w:lineRule="auto"/>
      </w:pPr>
      <w:r>
        <w:separator/>
      </w:r>
    </w:p>
  </w:endnote>
  <w:endnote w:type="continuationSeparator" w:id="0">
    <w:p w:rsidR="00047B86" w:rsidRDefault="00047B86" w:rsidP="00C9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820112"/>
      <w:docPartObj>
        <w:docPartGallery w:val="Page Numbers (Bottom of Page)"/>
        <w:docPartUnique/>
      </w:docPartObj>
    </w:sdtPr>
    <w:sdtEndPr>
      <w:rPr>
        <w:noProof/>
      </w:rPr>
    </w:sdtEndPr>
    <w:sdtContent>
      <w:p w:rsidR="00C904C6" w:rsidRDefault="00C904C6">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C904C6" w:rsidRDefault="00C90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B86" w:rsidRDefault="00047B86" w:rsidP="00C904C6">
      <w:pPr>
        <w:spacing w:after="0" w:line="240" w:lineRule="auto"/>
      </w:pPr>
      <w:r>
        <w:separator/>
      </w:r>
    </w:p>
  </w:footnote>
  <w:footnote w:type="continuationSeparator" w:id="0">
    <w:p w:rsidR="00047B86" w:rsidRDefault="00047B86" w:rsidP="00C904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35"/>
    <w:rsid w:val="00047B86"/>
    <w:rsid w:val="00793896"/>
    <w:rsid w:val="00A2092E"/>
    <w:rsid w:val="00A46935"/>
    <w:rsid w:val="00AA2BE4"/>
    <w:rsid w:val="00B0749B"/>
    <w:rsid w:val="00B55F6F"/>
    <w:rsid w:val="00C904C6"/>
    <w:rsid w:val="00D672EF"/>
    <w:rsid w:val="00DA2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4D54C-2523-488C-98E9-F15782BE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72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0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4C6"/>
  </w:style>
  <w:style w:type="paragraph" w:styleId="Footer">
    <w:name w:val="footer"/>
    <w:basedOn w:val="Normal"/>
    <w:link w:val="FooterChar"/>
    <w:uiPriority w:val="99"/>
    <w:unhideWhenUsed/>
    <w:rsid w:val="00C90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668376">
      <w:bodyDiv w:val="1"/>
      <w:marLeft w:val="0"/>
      <w:marRight w:val="0"/>
      <w:marTop w:val="0"/>
      <w:marBottom w:val="0"/>
      <w:divBdr>
        <w:top w:val="none" w:sz="0" w:space="0" w:color="auto"/>
        <w:left w:val="none" w:sz="0" w:space="0" w:color="auto"/>
        <w:bottom w:val="none" w:sz="0" w:space="0" w:color="auto"/>
        <w:right w:val="none" w:sz="0" w:space="0" w:color="auto"/>
      </w:divBdr>
      <w:divsChild>
        <w:div w:id="1156995209">
          <w:marLeft w:val="0"/>
          <w:marRight w:val="0"/>
          <w:marTop w:val="0"/>
          <w:marBottom w:val="0"/>
          <w:divBdr>
            <w:top w:val="none" w:sz="0" w:space="0" w:color="auto"/>
            <w:left w:val="none" w:sz="0" w:space="0" w:color="auto"/>
            <w:bottom w:val="none" w:sz="0" w:space="0" w:color="auto"/>
            <w:right w:val="none" w:sz="0" w:space="0" w:color="auto"/>
          </w:divBdr>
          <w:divsChild>
            <w:div w:id="1403599063">
              <w:marLeft w:val="0"/>
              <w:marRight w:val="0"/>
              <w:marTop w:val="0"/>
              <w:marBottom w:val="0"/>
              <w:divBdr>
                <w:top w:val="none" w:sz="0" w:space="0" w:color="auto"/>
                <w:left w:val="none" w:sz="0" w:space="0" w:color="auto"/>
                <w:bottom w:val="none" w:sz="0" w:space="0" w:color="auto"/>
                <w:right w:val="none" w:sz="0" w:space="0" w:color="auto"/>
              </w:divBdr>
              <w:divsChild>
                <w:div w:id="1226839230">
                  <w:marLeft w:val="0"/>
                  <w:marRight w:val="0"/>
                  <w:marTop w:val="0"/>
                  <w:marBottom w:val="0"/>
                  <w:divBdr>
                    <w:top w:val="none" w:sz="0" w:space="0" w:color="auto"/>
                    <w:left w:val="none" w:sz="0" w:space="0" w:color="auto"/>
                    <w:bottom w:val="none" w:sz="0" w:space="0" w:color="auto"/>
                    <w:right w:val="none" w:sz="0" w:space="0" w:color="auto"/>
                  </w:divBdr>
                </w:div>
              </w:divsChild>
            </w:div>
            <w:div w:id="533813549">
              <w:marLeft w:val="0"/>
              <w:marRight w:val="0"/>
              <w:marTop w:val="0"/>
              <w:marBottom w:val="0"/>
              <w:divBdr>
                <w:top w:val="none" w:sz="0" w:space="0" w:color="auto"/>
                <w:left w:val="none" w:sz="0" w:space="0" w:color="auto"/>
                <w:bottom w:val="none" w:sz="0" w:space="0" w:color="auto"/>
                <w:right w:val="none" w:sz="0" w:space="0" w:color="auto"/>
              </w:divBdr>
              <w:divsChild>
                <w:div w:id="1957056532">
                  <w:marLeft w:val="0"/>
                  <w:marRight w:val="0"/>
                  <w:marTop w:val="0"/>
                  <w:marBottom w:val="0"/>
                  <w:divBdr>
                    <w:top w:val="none" w:sz="0" w:space="0" w:color="auto"/>
                    <w:left w:val="none" w:sz="0" w:space="0" w:color="auto"/>
                    <w:bottom w:val="none" w:sz="0" w:space="0" w:color="auto"/>
                    <w:right w:val="none" w:sz="0" w:space="0" w:color="auto"/>
                  </w:divBdr>
                  <w:divsChild>
                    <w:div w:id="415246839">
                      <w:marLeft w:val="0"/>
                      <w:marRight w:val="0"/>
                      <w:marTop w:val="0"/>
                      <w:marBottom w:val="0"/>
                      <w:divBdr>
                        <w:top w:val="none" w:sz="0" w:space="0" w:color="auto"/>
                        <w:left w:val="none" w:sz="0" w:space="0" w:color="auto"/>
                        <w:bottom w:val="none" w:sz="0" w:space="0" w:color="auto"/>
                        <w:right w:val="none" w:sz="0" w:space="0" w:color="auto"/>
                      </w:divBdr>
                    </w:div>
                  </w:divsChild>
                </w:div>
                <w:div w:id="10649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1655</Words>
  <Characters>9436</Characters>
  <Application>Microsoft Office Word</Application>
  <DocSecurity>0</DocSecurity>
  <Lines>78</Lines>
  <Paragraphs>22</Paragraphs>
  <ScaleCrop>false</ScaleCrop>
  <Company>Moorche 30 DVDs</Company>
  <LinksUpToDate>false</LinksUpToDate>
  <CharactersWithSpaces>11069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5</cp:revision>
  <dcterms:created xsi:type="dcterms:W3CDTF">2016-05-10T06:34:00Z</dcterms:created>
  <dcterms:modified xsi:type="dcterms:W3CDTF">2016-05-28T03:52:00Z</dcterms:modified>
</cp:coreProperties>
</file>