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7B5" w:rsidRPr="005877B5" w:rsidRDefault="005877B5" w:rsidP="005877B5">
      <w:pPr>
        <w:pStyle w:val="NormalWeb"/>
        <w:bidi/>
        <w:jc w:val="both"/>
        <w:rPr>
          <w:rFonts w:cs="B Nazanin"/>
          <w:sz w:val="28"/>
          <w:szCs w:val="28"/>
          <w:lang w:bidi="fa-IR"/>
        </w:rPr>
      </w:pPr>
      <w:r w:rsidRPr="005877B5">
        <w:rPr>
          <w:rFonts w:cs="B Nazanin" w:hint="cs"/>
          <w:b/>
          <w:bCs/>
          <w:color w:val="552B2B"/>
          <w:sz w:val="28"/>
          <w:szCs w:val="28"/>
          <w:rtl/>
          <w:lang w:bidi="fa-IR"/>
        </w:rPr>
        <w:t>نشريه تربيتى اخلاقى خلق ؛ شماره‏35 ؛ ص36</w:t>
      </w:r>
    </w:p>
    <w:p w:rsidR="005877B5" w:rsidRDefault="005877B5" w:rsidP="005877B5">
      <w:pPr>
        <w:pStyle w:val="NormalWeb"/>
        <w:bidi/>
        <w:jc w:val="both"/>
        <w:rPr>
          <w:rFonts w:cs="B Nazanin"/>
          <w:b/>
          <w:bCs/>
          <w:color w:val="465BFF"/>
          <w:sz w:val="28"/>
          <w:szCs w:val="28"/>
          <w:rtl/>
          <w:lang w:bidi="fa-IR"/>
        </w:rPr>
      </w:pPr>
      <w:r w:rsidRPr="005877B5">
        <w:rPr>
          <w:rFonts w:cs="B Nazanin" w:hint="cs"/>
          <w:b/>
          <w:bCs/>
          <w:color w:val="465BFF"/>
          <w:sz w:val="28"/>
          <w:szCs w:val="28"/>
          <w:rtl/>
          <w:lang w:bidi="fa-IR"/>
        </w:rPr>
        <w:t>تحفه قدسى‏</w:t>
      </w:r>
      <w:r>
        <w:rPr>
          <w:rFonts w:cs="B Nazanin" w:hint="cs"/>
          <w:b/>
          <w:bCs/>
          <w:color w:val="465BFF"/>
          <w:sz w:val="28"/>
          <w:szCs w:val="28"/>
          <w:rtl/>
          <w:lang w:bidi="fa-IR"/>
        </w:rPr>
        <w:t xml:space="preserve"> </w:t>
      </w:r>
    </w:p>
    <w:p w:rsidR="005877B5" w:rsidRPr="005877B5" w:rsidRDefault="005877B5" w:rsidP="005877B5">
      <w:pPr>
        <w:pStyle w:val="NormalWeb"/>
        <w:bidi/>
        <w:jc w:val="both"/>
        <w:rPr>
          <w:rFonts w:cs="B Nazanin" w:hint="cs"/>
          <w:b/>
          <w:bCs/>
          <w:color w:val="465BFF"/>
          <w:sz w:val="28"/>
          <w:szCs w:val="28"/>
          <w:rtl/>
          <w:lang w:bidi="fa-IR"/>
        </w:rPr>
      </w:pPr>
      <w:r w:rsidRPr="005877B5">
        <w:rPr>
          <w:rFonts w:cs="B Nazanin" w:hint="cs"/>
          <w:b/>
          <w:bCs/>
          <w:color w:val="465BFF"/>
          <w:sz w:val="28"/>
          <w:szCs w:val="28"/>
          <w:rtl/>
          <w:lang w:bidi="fa-IR"/>
        </w:rPr>
        <w:t>سفره اجابت (دعاى پي</w:t>
      </w:r>
      <w:bookmarkStart w:id="0" w:name="_GoBack"/>
      <w:bookmarkEnd w:id="0"/>
      <w:r w:rsidRPr="005877B5">
        <w:rPr>
          <w:rFonts w:cs="B Nazanin" w:hint="cs"/>
          <w:b/>
          <w:bCs/>
          <w:color w:val="465BFF"/>
          <w:sz w:val="28"/>
          <w:szCs w:val="28"/>
          <w:rtl/>
          <w:lang w:bidi="fa-IR"/>
        </w:rPr>
        <w:t>ش از افطار)</w:t>
      </w:r>
    </w:p>
    <w:p w:rsidR="005877B5" w:rsidRPr="005877B5" w:rsidRDefault="005877B5" w:rsidP="005877B5">
      <w:pPr>
        <w:bidi/>
        <w:jc w:val="both"/>
        <w:rPr>
          <w:rFonts w:cs="B Nazanin" w:hint="cs"/>
          <w:sz w:val="28"/>
          <w:szCs w:val="28"/>
          <w:rtl/>
          <w:lang w:bidi="fa-IR"/>
        </w:rPr>
      </w:pPr>
    </w:p>
    <w:p w:rsidR="005877B5" w:rsidRPr="005877B5" w:rsidRDefault="005877B5" w:rsidP="005877B5">
      <w:pPr>
        <w:pStyle w:val="NormalWeb"/>
        <w:bidi/>
        <w:jc w:val="both"/>
        <w:rPr>
          <w:rFonts w:cs="B Nazanin" w:hint="cs"/>
          <w:sz w:val="28"/>
          <w:szCs w:val="28"/>
          <w:rtl/>
          <w:lang w:bidi="fa-IR"/>
        </w:rPr>
      </w:pPr>
      <w:r w:rsidRPr="005877B5">
        <w:rPr>
          <w:rFonts w:cs="B Nazanin" w:hint="cs"/>
          <w:color w:val="465BFF"/>
          <w:sz w:val="28"/>
          <w:szCs w:val="28"/>
          <w:rtl/>
          <w:lang w:bidi="fa-IR"/>
        </w:rPr>
        <w:t>مقدمه‏</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طبق فرموده امام صادق عليه السلام روزه‏دار، دو شادى و سرور دارد؛ شادى‏اى هنگام افطار و شادى‏اى هنگام لقاء پروردگارش.</w:t>
      </w:r>
      <w:r w:rsidRPr="005877B5">
        <w:rPr>
          <w:rStyle w:val="FootnoteReference"/>
          <w:rFonts w:cs="B Nazanin"/>
          <w:color w:val="000000"/>
          <w:sz w:val="28"/>
          <w:szCs w:val="28"/>
          <w:rtl/>
          <w:lang w:bidi="fa-IR"/>
        </w:rPr>
        <w:footnoteReference w:id="1"/>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در توضيح اين روايت بايد گفت: روزه‏دار، هنگامى كه به لقاء الهى مى‏رسد و پاداش عظيم و بى‏مانند روزه خود را از خدا دريافت مى‏كند كه خداوند فرمود: روزه براى من است و من خود جزا [دهنده‏] ى آن هستم- غرق در سرور و نشاط مى‏شود. اما علاوه بر آن، روزه‏دار يك سرور دنيايى هم دارد كه در پايان هر روز، روزه‏دارى رخ مى‏دهد؛ هنگامى كه مى‏بينيد توفيق يافته چند ساعتِ محدود، خويشتن‏دارى كند و صبر نمايد و درازاى آن، پاداشى بى‏نهايت دريافت كند. نقل است كه نبى مكرم صلى الله عليه و آله و سلم هنگام افطار مى‏فرمودند:</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t>ذَهَبَ الظَّمَا وَ ابْتَلَّتْ الْعُرُوقُ وَ بَقِىَ الأجْرُ</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w:t>
      </w:r>
      <w:r w:rsidRPr="005877B5">
        <w:rPr>
          <w:rStyle w:val="FootnoteReference"/>
          <w:rFonts w:cs="B Nazanin"/>
          <w:color w:val="000000"/>
          <w:sz w:val="28"/>
          <w:szCs w:val="28"/>
          <w:rtl/>
          <w:lang w:bidi="fa-IR"/>
        </w:rPr>
        <w:footnoteReference w:id="2"/>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تشنگى برطرف شد و رگ‏ها پرآب شدند و [در مقابل،] پاداش الهى باقى ماند.</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مؤمن روزه‏دار، هنگام افطار، شاد است كه به وظيفه‏اى الهى عمل كرده و اكنون بر سر سفره اجابت الهى نشسته و ميوه‏هاى گوناگون دعا و نياز را بر مى‏چيند. دعاى پيش از افطار، براى اهل مراقبه، بسيار مغتنم است. آنان به دعاى مختصرِ معمول اكتفا نمى‏كنند؛ بلكه پيوسته از سفره دعا و نياز، و از خوان اجابت الهى، لقمه لقمه بر مى‏گيرند و سپس از سر ضرورت به غذاى ظاهرى دست مى‏گشايند.</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از جمله دعاهايى كه پيش از افطار دستور داده شده، دعاى «</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lastRenderedPageBreak/>
        <w:t>اللّهُمَّ رَبَّ النُّورِ الْعَظيمِ‏</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 است كه حاج شيخ عباس قمى رحمه الله، در مفاتيح‏الجنان به آن اشاره نموده، اما خود دعا را ذكر نكرده است. ظاهراً از اين‏رو كه آغاز اين دعا (</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t>اللّهُمَّ رَبَّ النُّورِ الْعَظيمِ‏</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 شبيه دعاى عهد است، برخى به اشتباه، گمان كرده‏اند خواندن دعاى عهد پيش از افطار، مستحب است؛ در حالى دعايى كه دستور داده شده، چنين است:</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[امام‏] صادق عليه السلام فرمودند:</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رسول خدا صلى الله عليه و آله و سلم به امير مؤمنان عليه السلام فرمودند: اى اباالحسن! اين، ماه رمضان است كه فرا رسيده؛ پس دعايت را پيش از افطارت قرار ده. همانا جبرائيل عليه السلام نزد من آمد و گفت:</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«اى محمد! هر كس در ماه رمضان قبل از افطار، اين‏گونه دعا كند، خداى متعال دعاى او را مستجاب و روزه و نمازش را قبول مى‏كند، و براى او ده دعا [ى ديگر نيز] مستجاب مى‏كند، و گناه او را مى‏آمرزد، و نگرانى‏هايش را بر طرف مى‏كند، و غمش را مى‏زدايد، و نيازهايش را برآورده مى‏سازد، و او را به خواسته‏هايش مى‏رساند، و عملش را همراه با اعمال پيامبران و صدّيقان، بالا مى‏برد.</w:t>
      </w:r>
    </w:p>
    <w:p w:rsidR="005877B5" w:rsidRPr="005877B5" w:rsidRDefault="005877B5" w:rsidP="005877B5">
      <w:pPr>
        <w:pStyle w:val="NormalWeb"/>
        <w:bidi/>
        <w:jc w:val="both"/>
        <w:rPr>
          <w:rFonts w:cs="B Nazanin" w:hint="cs"/>
          <w:color w:val="000000"/>
          <w:sz w:val="28"/>
          <w:szCs w:val="28"/>
          <w:rtl/>
          <w:lang w:bidi="fa-IR"/>
        </w:rPr>
      </w:pPr>
      <w:r w:rsidRPr="005877B5">
        <w:rPr>
          <w:rFonts w:cs="B Nazanin" w:hint="cs"/>
          <w:color w:val="2A415C"/>
          <w:sz w:val="28"/>
          <w:szCs w:val="28"/>
          <w:rtl/>
          <w:lang w:bidi="fa-IR"/>
        </w:rPr>
        <w:t>نشريه تربيتى اخلاقى خلق، شماره‏35، ص: 37</w:t>
      </w:r>
    </w:p>
    <w:p w:rsidR="005877B5" w:rsidRPr="005877B5" w:rsidRDefault="005877B5" w:rsidP="005877B5">
      <w:pPr>
        <w:bidi/>
        <w:jc w:val="both"/>
        <w:rPr>
          <w:rFonts w:cs="B Nazanin" w:hint="cs"/>
          <w:sz w:val="28"/>
          <w:szCs w:val="28"/>
          <w:rtl/>
          <w:lang w:bidi="fa-IR"/>
        </w:rPr>
      </w:pPr>
      <w:r w:rsidRPr="005877B5">
        <w:rPr>
          <w:rFonts w:cs="B Nazanin" w:hint="cs"/>
          <w:color w:val="000000"/>
          <w:sz w:val="28"/>
          <w:szCs w:val="28"/>
          <w:rtl/>
          <w:lang w:bidi="fa-IR"/>
        </w:rPr>
        <w:t>و روز قيامت در حالى مى‏آيد كه رويش از ماه شب چهارده، نورانى‏تر است». گفتم: «اى جبرائيل! آن دعا كدام است؟» گفت: بگو:</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t>اللَّهُمَّ رَبَّ النُّورِ الْعَظِيمِ، وَ رَبَّ الْكُرْسِيِّ الرَّفِيعِ، وَ رَبَّ الْبَحْرِ الْمَسْجُورِ، وَ رَبَ الشَّفْعِ الْكَبِيرِ، وَ النُّورِ الْعَزِيزِ، وَ رَبَّ التَّوْراةِ وَ الْإنْجِيلِ وَ الزَّبُورِ، وَ الْفُرْقانِ الْعَظِيمِ.</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t>أنْتَ إِلهُ مَنْ فِي السَّمواتِ وَ إِلهُ مَنْ فِي الْأرْضِ لا إِلهَ فِيهِما غَيْرُكَ، وَ أنْتَ جَبَّارُ مَنْ فِي السَّمواتِ وَ جَبَّارُ مَنْ فِي الْأرْضِ لا جَبَّارَ فِيهِما غَيْرُكَ، أنْتَ مَلِكُ مَنْ فِي السَّمواتِ، وَ مَلِكُ مَنْ فِي الْأرْضِ، لا مَلِكَ فِيهِما غَيْرُكَ، أسْألُكَ بِاسْمِكَ الْكَبِيرِ، وَ نُورِ وَجْهِكَ الْمُنِيرِ، وَ بِمُلْكِكَ الْقَدِيمِ.</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t>يا حَيُّ يا قَيُّومُ، يا حَيُّ يا قَيُّومُ يا حَيُّ يا قَيُّومُ، أَسْأَلُكَ بِاسْمِكَ الَّذِي أشْرَقَ بِهِ كُلُّ شَيْ‏ءٍ،</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lastRenderedPageBreak/>
        <w:t>وَ بِاسْمِكَ الَّذِي أشْرَقَتْ بِهِ السَّمواتُ وَ الْأَرْضُ، وَ بِاسْمِكَ الَّذِي صَلُحَ بِهِ الْأَوَّلُونَ، وَ بِهِ يَصْلُحُ الآخِرُونَ.</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t>يا حَيّاً قَبْلَ كُلِّ حَيٍّ، وَ يا حَيّاً بَعْدَ كُلِّ حَيٍّ، وَ يا حَيُّ لا إِلهَ إِلَّا أنْتَ صَلِّ عَلَى مُحَمَّدٍ وَ آلِ مُحَمَّدٍ، وَ اغْفِرْ لِي ذُنُوبِي، وَ اجْعَلْ لِي مِنْ أمْرِي يُسْراً وَ فَرَجاً قَرِيباً، وَ ثَبِّتْنِي عَلى دِينِ مُحَمَّدٍ وَ آلِ مُحَمَّدٍ، وَ عَلى هُدى مُحَمَّدٍ وَ آلِ مُحَمَّدٍ، وَ عَلى سُنَّةِ مُحَمَّدٍ وَ آلِ مُحَمَّدٍ، عَلَيْهِ وَ عَلَيْهِمُ السَّلامُ.</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t>وَ اجْعَلْ عَمَلِي فِي الْمَرْفُوعِ الْمُتَقَبَّلِ، وَ هَبْ لِي كَما وَهَبْتَ لأَوْلِيائِكَ وَ أهْلِ طاعَتِكَ، فَانِّي مُؤْمِنٌ بِكَ، وَ مُتَوَكِّلٌ عَلَيْكَ، مُنِيبٌ إِلَيْكَ، مَعَ مَصِيري إِلَيْكَ، وَ تَجْمَعُ لِي وَ لِأهْلِي وَ لِوَلَدِي الْخَيْرَ كُلَّهُ، وَ تَصْرِفُ عَنِّي وَ عَنْ وَلَدِي وَ أهْلِي الشَّرَّ كُلَّهُ.</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242887"/>
          <w:sz w:val="28"/>
          <w:szCs w:val="28"/>
          <w:rtl/>
          <w:lang w:bidi="fa-IR"/>
        </w:rPr>
        <w:t>أنْتَ الْحَنَّانُ الْمَنَّانُ بَدِيعُ السَّمواتِ وَ الْأرْضِ، تُعْطِي الْخَيْرَ مَنْ تَشاءُ، وَ تَصْرِفُهُ عَمَّنْ تَشاءُ، فَامْنُنْ عَلَيَّ بِرَحْمَتِكَ يا أرْحَمَ الرَّاحِمِينَ‏</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w:t>
      </w:r>
      <w:r w:rsidRPr="005877B5">
        <w:rPr>
          <w:rStyle w:val="FootnoteReference"/>
          <w:rFonts w:cs="B Nazanin"/>
          <w:color w:val="000000"/>
          <w:sz w:val="28"/>
          <w:szCs w:val="28"/>
          <w:rtl/>
          <w:lang w:bidi="fa-IR"/>
        </w:rPr>
        <w:footnoteReference w:id="3"/>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بارالها! اى پروردگار نور عظيم! و اى پروردگار كرسىّ رفيع! و اى پروردگار درياى سرشار و افروخته! و اى پروردگار شفع كبير و نور عزتمند! و اى پروردگار تورات و انجيل و زبور و فرقان عظيم!</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تو معبود هر كس هستى كه در آسمان‏ها است و معبود هر كس هستى كه در زمين است و در آن دو [/ آسمان‏ها و زمين‏] معبودى جز تو نيست. و تو جبار آن كس هستى كه در آسمان‏ها است و جبار آن كس هستى كه در زمين است و در آن دو، جبارى جز تو نيست. تو پادشاه هر كسى هستى كه درآسمان‏ها است و پادشاه هر كس هستى كه در زمين است و پادشاهى جز تو در آن دو نيست. از تو مى‏خواهم به اسم كبيرت و نور وجه نورانى‏ات و به پادشاهى ازلى‏ات.</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اى زنده، اى پاينده! اى زنده، اى پاينده! اى زنده، اى پاينده! از تو مى‏خواهم به آن اسمت كه همه چيز را نورانى كرده،</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و به آن اسمت كه آسمان و زمين را نورانى كرده و به آن اسمت كه نخستين [آفريده‏] ها از آن صلاح يافتند و آخرين [آفريده‏] ها از او صلاح مى‏يابند.</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 xml:space="preserve">اى زنده‏اى كه پيش از هر زنده است! و اى زنده‏اى كه بعد از هر زنده است! و اى زنده‏اى كه معبودى جز تو نيست! بر محمد و آل محمد درود فرست و گناهان مرا بيامرز و براى من در كارهايم آسانى و گشايش نزديك قرارده. و </w:t>
      </w:r>
      <w:r w:rsidRPr="005877B5">
        <w:rPr>
          <w:rFonts w:cs="B Nazanin" w:hint="cs"/>
          <w:color w:val="000000"/>
          <w:sz w:val="28"/>
          <w:szCs w:val="28"/>
          <w:rtl/>
          <w:lang w:bidi="fa-IR"/>
        </w:rPr>
        <w:lastRenderedPageBreak/>
        <w:t>مرا بر دين محمد و آل محمد و بر هدايت محمد و آل محمد و بر سنت محمد و آل محمد- بر او و آلش سلام باد- پايدار بدار.</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و عملم را در [مقام‏] رفيع و مقبول قرار ده. و بر من ببخش؛ آنچان كه بر اوليايت و اهل طاعتت بخشيدى؛ كه من به تو مؤمنم و بر تو متوكلم و توبه‏كننده و روى آورنده به سوى توام، ضمن اينكه عاقبتم به سوى توست. و [از تو درخواست مى‏كنم كه‏] همه خير را براى من و خانواده‏ام و فرزندانم جمع كنى، و همه شر را از من و فرزندانم و خانواده‏ام دور نمايى.</w:t>
      </w:r>
    </w:p>
    <w:p w:rsidR="005877B5" w:rsidRPr="005877B5" w:rsidRDefault="005877B5" w:rsidP="005877B5">
      <w:pPr>
        <w:pStyle w:val="NormalWeb"/>
        <w:bidi/>
        <w:jc w:val="both"/>
        <w:rPr>
          <w:rFonts w:cs="B Nazanin" w:hint="cs"/>
          <w:sz w:val="28"/>
          <w:szCs w:val="28"/>
          <w:rtl/>
          <w:lang w:bidi="fa-IR"/>
        </w:rPr>
      </w:pPr>
      <w:r w:rsidRPr="005877B5">
        <w:rPr>
          <w:rFonts w:cs="B Nazanin" w:hint="cs"/>
          <w:color w:val="000000"/>
          <w:sz w:val="28"/>
          <w:szCs w:val="28"/>
          <w:rtl/>
          <w:lang w:bidi="fa-IR"/>
        </w:rPr>
        <w:t>تو بسيار مهربان و بخشاينده نعمت‏هاى بزرگ و پديد آورنده آسمان‏ها و زمينى؛ به هر كس كه بخواهى، خير عطا مى‏كنى و از هركس بخواهى، آن را باز مى‏دارى؛ پس بر من [با عطايت‏] منت گذار، اى رحم‏كننده‏ترين رحم‏كنندگان!</w:t>
      </w:r>
      <w:r w:rsidRPr="005877B5">
        <w:rPr>
          <w:rStyle w:val="FootnoteReference"/>
          <w:rFonts w:cs="B Nazanin"/>
          <w:color w:val="000000"/>
          <w:sz w:val="28"/>
          <w:szCs w:val="28"/>
          <w:rtl/>
          <w:lang w:bidi="fa-IR"/>
        </w:rPr>
        <w:footnoteReference w:id="4"/>
      </w:r>
    </w:p>
    <w:p w:rsidR="005877B5" w:rsidRPr="005877B5" w:rsidRDefault="005877B5" w:rsidP="005877B5">
      <w:pPr>
        <w:bidi/>
        <w:jc w:val="both"/>
        <w:rPr>
          <w:rFonts w:cs="B Nazanin"/>
          <w:sz w:val="28"/>
          <w:szCs w:val="28"/>
        </w:rPr>
      </w:pPr>
    </w:p>
    <w:p w:rsidR="00AA2BE4" w:rsidRPr="005877B5" w:rsidRDefault="00AA2BE4" w:rsidP="005877B5">
      <w:pPr>
        <w:bidi/>
        <w:jc w:val="both"/>
        <w:rPr>
          <w:rFonts w:cs="B Nazanin"/>
          <w:sz w:val="28"/>
          <w:szCs w:val="28"/>
        </w:rPr>
      </w:pPr>
    </w:p>
    <w:sectPr w:rsidR="00AA2BE4" w:rsidRPr="005877B5" w:rsidSect="005877B5">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07C" w:rsidRDefault="00F2407C" w:rsidP="005877B5">
      <w:pPr>
        <w:spacing w:after="0" w:line="240" w:lineRule="auto"/>
      </w:pPr>
      <w:r>
        <w:separator/>
      </w:r>
    </w:p>
  </w:endnote>
  <w:endnote w:type="continuationSeparator" w:id="0">
    <w:p w:rsidR="00F2407C" w:rsidRDefault="00F2407C" w:rsidP="0058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Arabic Style">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2  Arabic Style">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07C" w:rsidRDefault="00F2407C" w:rsidP="005877B5">
      <w:pPr>
        <w:spacing w:after="0" w:line="240" w:lineRule="auto"/>
      </w:pPr>
      <w:r>
        <w:separator/>
      </w:r>
    </w:p>
  </w:footnote>
  <w:footnote w:type="continuationSeparator" w:id="0">
    <w:p w:rsidR="00F2407C" w:rsidRDefault="00F2407C" w:rsidP="005877B5">
      <w:pPr>
        <w:spacing w:after="0" w:line="240" w:lineRule="auto"/>
      </w:pPr>
      <w:r>
        <w:continuationSeparator/>
      </w:r>
    </w:p>
  </w:footnote>
  <w:footnote w:id="1">
    <w:p w:rsidR="005877B5" w:rsidRDefault="005877B5" w:rsidP="005877B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( 1). كافى، ج 4، ص 65.</w:t>
      </w:r>
    </w:p>
  </w:footnote>
  <w:footnote w:id="2">
    <w:p w:rsidR="005877B5" w:rsidRDefault="005877B5" w:rsidP="005877B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( 2). همان، ص 95.</w:t>
      </w:r>
    </w:p>
  </w:footnote>
  <w:footnote w:id="3">
    <w:p w:rsidR="005877B5" w:rsidRDefault="005877B5" w:rsidP="005877B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( 1). الإقبال بالأعمال الحسنة( ط- الحديثة)، على بن موسى بن طاووس، دفتر تبليغات اسلامى، قم، اول، 1376 ش، ج 1، ص 239.</w:t>
      </w:r>
    </w:p>
  </w:footnote>
  <w:footnote w:id="4">
    <w:p w:rsidR="005877B5" w:rsidRDefault="005877B5" w:rsidP="005877B5">
      <w:pPr>
        <w:pStyle w:val="FootnoteText"/>
        <w:rPr>
          <w:rFonts w:hint="cs"/>
          <w:rtl/>
        </w:rPr>
      </w:pPr>
      <w:r>
        <w:rPr>
          <w:rStyle w:val="FootnoteReference"/>
        </w:rPr>
        <w:footnoteRef/>
      </w:r>
      <w:r>
        <w:rPr>
          <w:rFonts w:ascii="2  Arabic Style" w:hAnsi="2  Arabic Style"/>
          <w:rtl/>
        </w:rPr>
        <w:t xml:space="preserve"> </w:t>
      </w:r>
      <w:r>
        <w:rPr>
          <w:rFonts w:ascii="2  Arabic Style" w:hAnsi="2  Arabic Style"/>
          <w:rtl/>
          <w:lang w:bidi="fa-IR"/>
        </w:rPr>
        <w:t>موسسه فرهنگى دارالهدى، نشريه تربيتى اخلاقى خلق، 35جلد، موسسه فرهنگى دار الهدى - قم، چاپ: اول.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B5"/>
    <w:rsid w:val="005877B5"/>
    <w:rsid w:val="00A2092E"/>
    <w:rsid w:val="00AA2BE4"/>
    <w:rsid w:val="00B0749B"/>
    <w:rsid w:val="00B55F6F"/>
    <w:rsid w:val="00DA2575"/>
    <w:rsid w:val="00F240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27E85-E145-446F-BB40-EEF260FA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77B5"/>
    <w:pPr>
      <w:bidi/>
      <w:spacing w:after="0" w:line="240" w:lineRule="auto"/>
      <w:jc w:val="both"/>
    </w:pPr>
    <w:rPr>
      <w:rFonts w:ascii="Times New Roman" w:hAnsi="Times New Roman" w:cs="2 Arabic Style"/>
      <w:sz w:val="20"/>
      <w:szCs w:val="20"/>
    </w:rPr>
  </w:style>
  <w:style w:type="character" w:customStyle="1" w:styleId="FootnoteTextChar">
    <w:name w:val="Footnote Text Char"/>
    <w:basedOn w:val="DefaultParagraphFont"/>
    <w:link w:val="FootnoteText"/>
    <w:uiPriority w:val="99"/>
    <w:semiHidden/>
    <w:rsid w:val="005877B5"/>
    <w:rPr>
      <w:rFonts w:ascii="Times New Roman" w:hAnsi="Times New Roman" w:cs="2 Arabic Style"/>
      <w:sz w:val="20"/>
      <w:szCs w:val="20"/>
    </w:rPr>
  </w:style>
  <w:style w:type="character" w:styleId="FootnoteReference">
    <w:name w:val="footnote reference"/>
    <w:basedOn w:val="DefaultParagraphFont"/>
    <w:uiPriority w:val="99"/>
    <w:semiHidden/>
    <w:unhideWhenUsed/>
    <w:rsid w:val="005877B5"/>
    <w:rPr>
      <w:vertAlign w:val="superscript"/>
    </w:rPr>
  </w:style>
  <w:style w:type="paragraph" w:styleId="NormalWeb">
    <w:name w:val="Normal (Web)"/>
    <w:basedOn w:val="Normal"/>
    <w:uiPriority w:val="99"/>
    <w:semiHidden/>
    <w:unhideWhenUsed/>
    <w:rsid w:val="005877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0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865</Words>
  <Characters>4935</Characters>
  <Application>Microsoft Office Word</Application>
  <DocSecurity>0</DocSecurity>
  <Lines>41</Lines>
  <Paragraphs>11</Paragraphs>
  <ScaleCrop>false</ScaleCrop>
  <Company>Moorche 30 DVDs</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1</cp:revision>
  <dcterms:created xsi:type="dcterms:W3CDTF">2016-03-16T05:53:00Z</dcterms:created>
  <dcterms:modified xsi:type="dcterms:W3CDTF">2016-03-16T06:12:00Z</dcterms:modified>
</cp:coreProperties>
</file>