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A4" w:rsidRPr="006115A4" w:rsidRDefault="006115A4" w:rsidP="006115A4">
      <w:pPr>
        <w:shd w:val="clear" w:color="auto" w:fill="FFFFCC"/>
        <w:bidi/>
        <w:spacing w:before="100" w:beforeAutospacing="1" w:after="100" w:afterAutospacing="1" w:line="340" w:lineRule="atLeast"/>
        <w:ind w:firstLine="301"/>
        <w:rPr>
          <w:rFonts w:ascii="Times New Roman" w:eastAsia="Times New Roman" w:hAnsi="Times New Roman" w:cs="Times New Roman"/>
          <w:color w:val="800000"/>
          <w:sz w:val="27"/>
          <w:szCs w:val="27"/>
        </w:rPr>
      </w:pPr>
      <w:r w:rsidRPr="006115A4">
        <w:rPr>
          <w:rFonts w:ascii="Times New Roman" w:eastAsia="Times New Roman" w:hAnsi="Times New Roman" w:cs="Mitra" w:hint="cs"/>
          <w:b/>
          <w:bCs/>
          <w:color w:val="800000"/>
          <w:sz w:val="28"/>
          <w:szCs w:val="28"/>
          <w:rtl/>
          <w:lang w:bidi="fa-IR"/>
        </w:rPr>
        <w:t>سيره نبوي</w:t>
      </w:r>
    </w:p>
    <w:p w:rsidR="006115A4" w:rsidRPr="006115A4" w:rsidRDefault="006115A4" w:rsidP="006115A4">
      <w:pPr>
        <w:shd w:val="clear" w:color="auto" w:fill="FFFFCC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</w:pP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در سيره و اخلاق پيامبر عظيم الشأن اسلام</w:t>
      </w:r>
      <w:r w:rsidRPr="006115A4">
        <w:rPr>
          <w:rFonts w:ascii="V_Symbols" w:eastAsia="Times New Roman" w:hAnsi="V_Symbols" w:cs="Tahoma"/>
          <w:color w:val="800000"/>
          <w:sz w:val="20"/>
          <w:szCs w:val="20"/>
        </w:rPr>
        <w:t></w:t>
      </w:r>
      <w:r w:rsidRPr="006115A4">
        <w:rPr>
          <w:rFonts w:ascii="Cambria" w:eastAsia="Times New Roman" w:hAnsi="Cambria" w:cs="Cambria" w:hint="cs"/>
          <w:color w:val="800000"/>
          <w:sz w:val="20"/>
          <w:szCs w:val="20"/>
          <w:rtl/>
          <w:lang w:bidi="fa-IR"/>
        </w:rPr>
        <w:t> 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به دانش افزايي و كسب علم توجه خاصي شده است. پيامبر اعظم</w:t>
      </w:r>
      <w:r w:rsidRPr="006115A4">
        <w:rPr>
          <w:rFonts w:ascii="V_Symbols" w:eastAsia="Times New Roman" w:hAnsi="V_Symbols" w:cs="Tahoma"/>
          <w:color w:val="800000"/>
          <w:sz w:val="20"/>
          <w:szCs w:val="20"/>
        </w:rPr>
        <w:t></w:t>
      </w:r>
      <w:r w:rsidRPr="006115A4">
        <w:rPr>
          <w:rFonts w:ascii="Cambria" w:eastAsia="Times New Roman" w:hAnsi="Cambria" w:cs="Cambria" w:hint="cs"/>
          <w:color w:val="800000"/>
          <w:sz w:val="20"/>
          <w:szCs w:val="20"/>
          <w:rtl/>
          <w:lang w:bidi="fa-IR"/>
        </w:rPr>
        <w:t> 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همواره مسلمانان را به علم آموزي تشويق مي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softHyphen/>
        <w:t>فرمودند و آنان را به توجه عميق به عقلانيت، خردورزي و كسب علم سفارش مي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softHyphen/>
        <w:t>كردند.</w:t>
      </w:r>
    </w:p>
    <w:p w:rsidR="006115A4" w:rsidRPr="006115A4" w:rsidRDefault="006115A4" w:rsidP="006115A4">
      <w:pPr>
        <w:shd w:val="clear" w:color="auto" w:fill="FFFFCC"/>
        <w:bidi/>
        <w:spacing w:before="100" w:beforeAutospacing="1" w:after="100" w:afterAutospacing="1" w:line="340" w:lineRule="atLeast"/>
        <w:ind w:firstLine="301"/>
        <w:jc w:val="both"/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</w:pP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يك روز كه رسول خدا</w:t>
      </w:r>
      <w:r w:rsidRPr="006115A4">
        <w:rPr>
          <w:rFonts w:ascii="V_Symbols" w:eastAsia="Times New Roman" w:hAnsi="V_Symbols" w:cs="Tahoma"/>
          <w:color w:val="800000"/>
          <w:sz w:val="20"/>
          <w:szCs w:val="20"/>
        </w:rPr>
        <w:t></w:t>
      </w:r>
      <w:r w:rsidRPr="006115A4">
        <w:rPr>
          <w:rFonts w:ascii="Cambria" w:eastAsia="Times New Roman" w:hAnsi="Cambria" w:cs="Cambria" w:hint="cs"/>
          <w:color w:val="800000"/>
          <w:sz w:val="20"/>
          <w:szCs w:val="20"/>
          <w:rtl/>
          <w:lang w:bidi="fa-IR"/>
        </w:rPr>
        <w:t> 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وارد مسجد شدند، با دو گروه مواجه گرديدند. عده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softHyphen/>
        <w:t>اي سرگرم گفت وگوهاي علمي و پرسش و پاسخ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softHyphen/>
        <w:t>هاي ديني جمع و ديگر به مراسم دعا و مناجات مشغول بودند. پيامبر</w:t>
      </w:r>
      <w:r w:rsidRPr="006115A4">
        <w:rPr>
          <w:rFonts w:ascii="V_Symbols" w:eastAsia="Times New Roman" w:hAnsi="V_Symbols" w:cs="Tahoma"/>
          <w:color w:val="800000"/>
          <w:sz w:val="20"/>
          <w:szCs w:val="20"/>
        </w:rPr>
        <w:t></w:t>
      </w:r>
      <w:r w:rsidRPr="006115A4">
        <w:rPr>
          <w:rFonts w:ascii="Cambria" w:eastAsia="Times New Roman" w:hAnsi="Cambria" w:cs="Cambria" w:hint="cs"/>
          <w:color w:val="800000"/>
          <w:sz w:val="20"/>
          <w:szCs w:val="20"/>
          <w:rtl/>
          <w:lang w:bidi="fa-IR"/>
        </w:rPr>
        <w:t> 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نگاهي به دو مجلس نمودند و سپس همراه گروه علمي شدند و فرمودند:</w:t>
      </w:r>
      <w:r w:rsidRPr="006115A4">
        <w:rPr>
          <w:rFonts w:ascii="Cambria" w:eastAsia="Times New Roman" w:hAnsi="Cambria" w:cs="Cambria" w:hint="cs"/>
          <w:color w:val="800000"/>
          <w:sz w:val="20"/>
          <w:szCs w:val="20"/>
          <w:rtl/>
          <w:lang w:bidi="fa-IR"/>
        </w:rPr>
        <w:t> </w:t>
      </w:r>
      <w:r w:rsidRPr="006115A4">
        <w:rPr>
          <w:rFonts w:ascii="Tahoma" w:eastAsia="Times New Roman" w:hAnsi="Tahoma" w:cs="Badr" w:hint="cs"/>
          <w:color w:val="800000"/>
          <w:sz w:val="20"/>
          <w:szCs w:val="20"/>
          <w:rtl/>
          <w:lang w:bidi="fa-IR"/>
        </w:rPr>
        <w:t>&lt;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اگرچه هر دو محفل برايم دوست داشتني است، اما در نگاه من دانش افزايي و علم اندوزي از ارزش بالاتري برخوردار است و گروه دوم ارج و قرب بيشتري كسب مي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softHyphen/>
        <w:t>كند؛ زيرا من برآموزش و آگاهي بخشي مبعوث شده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softHyphen/>
        <w:t>ام.</w:t>
      </w:r>
      <w:r w:rsidRPr="006115A4">
        <w:rPr>
          <w:rFonts w:ascii="Tahoma" w:eastAsia="Times New Roman" w:hAnsi="Tahoma" w:cs="Badr" w:hint="cs"/>
          <w:color w:val="800000"/>
          <w:sz w:val="20"/>
          <w:szCs w:val="20"/>
          <w:rtl/>
          <w:lang w:bidi="fa-IR"/>
        </w:rPr>
        <w:t>&gt;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.</w:t>
      </w:r>
      <w:r w:rsidRPr="006115A4">
        <w:rPr>
          <w:rFonts w:ascii="Tahoma" w:eastAsia="Times New Roman" w:hAnsi="Tahoma" w:cs="Tahoma" w:hint="cs"/>
          <w:color w:val="800000"/>
          <w:sz w:val="20"/>
          <w:szCs w:val="20"/>
          <w:vertAlign w:val="superscript"/>
          <w:rtl/>
        </w:rPr>
        <w:t>(</w:t>
      </w:r>
      <w:bookmarkStart w:id="0" w:name="_ftnref1"/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  <w:rtl/>
        </w:rPr>
        <w:fldChar w:fldCharType="begin"/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  <w:rtl/>
        </w:rPr>
        <w:instrText xml:space="preserve"> </w:instrText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</w:rPr>
        <w:instrText>HYPERLINK "http://www.j-alzahra.ir/mags/</w:instrText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  <w:rtl/>
        </w:rPr>
        <w:instrText>21/08-21</w:instrText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</w:rPr>
        <w:instrText>.htm" \l "_ftn</w:instrText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  <w:rtl/>
        </w:rPr>
        <w:instrText>1</w:instrText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</w:rPr>
        <w:instrText>" \o</w:instrText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  <w:rtl/>
        </w:rPr>
        <w:instrText xml:space="preserve"> "" </w:instrText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  <w:rtl/>
        </w:rPr>
        <w:fldChar w:fldCharType="separate"/>
      </w:r>
      <w:r w:rsidRPr="006115A4">
        <w:rPr>
          <w:rFonts w:ascii="Tahoma" w:eastAsia="Times New Roman" w:hAnsi="Tahoma" w:cs="Tahoma"/>
          <w:color w:val="0000FF"/>
          <w:sz w:val="20"/>
          <w:szCs w:val="20"/>
          <w:u w:val="single"/>
          <w:vertAlign w:val="superscript"/>
        </w:rPr>
        <w:t>[1]</w:t>
      </w:r>
      <w:r w:rsidRPr="006115A4">
        <w:rPr>
          <w:rFonts w:ascii="Times New Roman" w:eastAsia="Times New Roman" w:hAnsi="Times New Roman" w:cs="Lotus"/>
          <w:color w:val="800000"/>
          <w:sz w:val="27"/>
          <w:szCs w:val="27"/>
          <w:vertAlign w:val="superscript"/>
          <w:rtl/>
        </w:rPr>
        <w:fldChar w:fldCharType="end"/>
      </w:r>
      <w:bookmarkEnd w:id="0"/>
      <w:r w:rsidRPr="006115A4">
        <w:rPr>
          <w:rFonts w:ascii="Tahoma" w:eastAsia="Times New Roman" w:hAnsi="Tahoma" w:cs="Tahoma" w:hint="cs"/>
          <w:color w:val="800000"/>
          <w:sz w:val="20"/>
          <w:szCs w:val="20"/>
          <w:vertAlign w:val="superscript"/>
          <w:rtl/>
        </w:rPr>
        <w:t>)</w:t>
      </w:r>
    </w:p>
    <w:p w:rsidR="006115A4" w:rsidRPr="006115A4" w:rsidRDefault="006115A4" w:rsidP="006115A4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</w:pPr>
      <w:r w:rsidRPr="006115A4">
        <w:rPr>
          <w:rFonts w:ascii="Tahoma" w:eastAsia="Times New Roman" w:hAnsi="Tahoma" w:cs="Tahoma"/>
          <w:color w:val="800000"/>
          <w:sz w:val="20"/>
          <w:szCs w:val="20"/>
        </w:rPr>
        <w:br w:type="textWrapping" w:clear="all"/>
        <w:t> </w:t>
      </w:r>
    </w:p>
    <w:p w:rsidR="006115A4" w:rsidRPr="006115A4" w:rsidRDefault="006115A4" w:rsidP="006115A4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800000"/>
          <w:sz w:val="27"/>
          <w:szCs w:val="27"/>
        </w:rPr>
      </w:pP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</w:rPr>
        <w:pict>
          <v:rect id="_x0000_i1025" style="width:154.45pt;height:.75pt" o:hrpct="330" o:hralign="center" o:hrstd="t" o:hr="t" fillcolor="#a0a0a0" stroked="f"/>
        </w:pict>
      </w:r>
    </w:p>
    <w:bookmarkStart w:id="1" w:name="_ftn1"/>
    <w:p w:rsidR="006115A4" w:rsidRPr="006115A4" w:rsidRDefault="006115A4" w:rsidP="006115A4">
      <w:pPr>
        <w:shd w:val="clear" w:color="auto" w:fill="FFFFCC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0000"/>
          <w:sz w:val="27"/>
          <w:szCs w:val="27"/>
        </w:rPr>
      </w:pP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  <w:fldChar w:fldCharType="begin"/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  <w:instrText xml:space="preserve"> </w:instrText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</w:rPr>
        <w:instrText>HYPERLINK "http://www.j-alzahra.ir/mags/</w:instrText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  <w:instrText>21/08-21</w:instrText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</w:rPr>
        <w:instrText>.htm" \l "_ftnref</w:instrText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  <w:instrText>1</w:instrText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</w:rPr>
        <w:instrText>" \o</w:instrText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  <w:instrText xml:space="preserve"> "" </w:instrText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  <w:fldChar w:fldCharType="separate"/>
      </w:r>
      <w:r w:rsidRPr="006115A4">
        <w:rPr>
          <w:rFonts w:ascii="Tahoma" w:eastAsia="Times New Roman" w:hAnsi="Tahoma" w:cs="Tahoma"/>
          <w:color w:val="0000FF"/>
          <w:sz w:val="20"/>
          <w:szCs w:val="20"/>
          <w:u w:val="single"/>
          <w:vertAlign w:val="superscript"/>
        </w:rPr>
        <w:t>[1]</w:t>
      </w:r>
      <w:r w:rsidRPr="006115A4">
        <w:rPr>
          <w:rFonts w:ascii="Times New Roman" w:eastAsia="Times New Roman" w:hAnsi="Times New Roman" w:cs="Times New Roman"/>
          <w:color w:val="800000"/>
          <w:sz w:val="27"/>
          <w:szCs w:val="27"/>
          <w:rtl/>
        </w:rPr>
        <w:fldChar w:fldCharType="end"/>
      </w:r>
      <w:bookmarkEnd w:id="1"/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</w:rPr>
        <w:t>.</w:t>
      </w:r>
      <w:r w:rsidRPr="006115A4">
        <w:rPr>
          <w:rFonts w:ascii="Cambria" w:eastAsia="Times New Roman" w:hAnsi="Cambria" w:cs="Cambria" w:hint="cs"/>
          <w:color w:val="800000"/>
          <w:sz w:val="20"/>
          <w:szCs w:val="20"/>
          <w:rtl/>
        </w:rPr>
        <w:t> 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علامه محمدباقر مجلسي</w:t>
      </w:r>
      <w:r w:rsidRPr="006115A4">
        <w:rPr>
          <w:rFonts w:ascii="V_Symbols" w:eastAsia="Times New Roman" w:hAnsi="V_Symbols" w:cs="Tahoma"/>
          <w:color w:val="800000"/>
          <w:sz w:val="20"/>
          <w:szCs w:val="20"/>
        </w:rPr>
        <w:t></w:t>
      </w:r>
      <w:r w:rsidRPr="006115A4">
        <w:rPr>
          <w:rFonts w:ascii="Tahoma" w:eastAsia="Times New Roman" w:hAnsi="Tahoma" w:cs="Mitra" w:hint="cs"/>
          <w:color w:val="800000"/>
          <w:sz w:val="20"/>
          <w:szCs w:val="20"/>
          <w:rtl/>
          <w:lang w:bidi="fa-IR"/>
        </w:rPr>
        <w:t>، بحارالانوار، ج 1، ص 206.</w:t>
      </w:r>
    </w:p>
    <w:p w:rsidR="00A50A24" w:rsidRDefault="00A50A24">
      <w:bookmarkStart w:id="2" w:name="_GoBack"/>
      <w:bookmarkEnd w:id="2"/>
    </w:p>
    <w:sectPr w:rsidR="00A5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_Symbols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A4"/>
    <w:rsid w:val="006115A4"/>
    <w:rsid w:val="00A5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2DE98-2359-4877-A3DA-EA53B556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Moorche 30 DVDs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tavassoli</dc:creator>
  <cp:keywords/>
  <dc:description/>
  <cp:lastModifiedBy>tavassoli</cp:lastModifiedBy>
  <cp:revision>2</cp:revision>
  <dcterms:created xsi:type="dcterms:W3CDTF">2015-05-30T07:20:00Z</dcterms:created>
  <dcterms:modified xsi:type="dcterms:W3CDTF">2015-05-30T07:20:00Z</dcterms:modified>
</cp:coreProperties>
</file>