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F8" w:rsidRDefault="00AB4CF8" w:rsidP="00AB4CF8">
      <w:pPr>
        <w:pStyle w:val="Heading1"/>
        <w:bidi/>
        <w:jc w:val="right"/>
        <w:rPr>
          <w:rFonts w:hint="cs"/>
          <w:rtl/>
        </w:rPr>
      </w:pPr>
      <w:bookmarkStart w:id="0" w:name="_Toc197144200"/>
      <w:r>
        <w:rPr>
          <w:rFonts w:hint="cs"/>
          <w:rtl/>
        </w:rPr>
        <w:t>آمريکا</w:t>
      </w:r>
      <w:r w:rsidRPr="005E3E8F">
        <w:rPr>
          <w:rFonts w:hint="cs"/>
          <w:rtl/>
        </w:rPr>
        <w:t xml:space="preserve"> و سومالي همچنان بر اجراي حکم</w:t>
      </w:r>
      <w:bookmarkEnd w:id="0"/>
      <w:r w:rsidRPr="005E3E8F">
        <w:rPr>
          <w:rFonts w:hint="cs"/>
          <w:rtl/>
        </w:rPr>
        <w:t xml:space="preserve"> </w:t>
      </w:r>
    </w:p>
    <w:p w:rsidR="00AB4CF8" w:rsidRPr="005E3E8F" w:rsidRDefault="00AB4CF8" w:rsidP="00AB4CF8">
      <w:pPr>
        <w:pStyle w:val="Heading1"/>
        <w:bidi/>
        <w:jc w:val="right"/>
        <w:rPr>
          <w:rFonts w:hint="cs"/>
          <w:rtl/>
        </w:rPr>
      </w:pPr>
      <w:bookmarkStart w:id="1" w:name="_Toc197144201"/>
      <w:r w:rsidRPr="005E3E8F">
        <w:rPr>
          <w:rFonts w:hint="cs"/>
          <w:rtl/>
        </w:rPr>
        <w:t>حبس ابد براي کودکان، اصرار مي‏ورزند</w:t>
      </w:r>
      <w:bookmarkEnd w:id="1"/>
    </w:p>
    <w:p w:rsidR="00AB4CF8" w:rsidRPr="005E3E8F" w:rsidRDefault="00AB4CF8" w:rsidP="00AB4CF8">
      <w:pPr>
        <w:pStyle w:val="a"/>
        <w:bidi/>
        <w:jc w:val="right"/>
        <w:rPr>
          <w:rFonts w:hint="cs"/>
          <w:rtl/>
        </w:rPr>
      </w:pPr>
      <w:r>
        <w:rPr>
          <w:rFonts w:ascii="Times New Roman" w:hAnsi="Times New Roman" w:cs="Times New Roman"/>
          <w:sz w:val="32"/>
          <w:szCs w:val="32"/>
          <w:rtl/>
        </w:rPr>
        <w:t>□</w:t>
      </w:r>
      <w:r>
        <w:rPr>
          <w:rFonts w:hint="cs"/>
          <w:rtl/>
        </w:rPr>
        <w:t xml:space="preserve"> </w:t>
      </w:r>
      <w:r w:rsidRPr="005E3E8F">
        <w:rPr>
          <w:rFonts w:hint="cs"/>
          <w:rtl/>
        </w:rPr>
        <w:t>دانيل مکلاير</w:t>
      </w:r>
      <w:r>
        <w:rPr>
          <w:rStyle w:val="FootnoteReference"/>
          <w:rtl/>
        </w:rPr>
        <w:footnoteReference w:id="2"/>
      </w:r>
    </w:p>
    <w:p w:rsidR="00AB4CF8" w:rsidRPr="005E3E8F" w:rsidRDefault="00AB4CF8" w:rsidP="00AB4CF8">
      <w:pPr>
        <w:pStyle w:val="Heading5"/>
        <w:bidi/>
        <w:rPr>
          <w:rFonts w:hint="cs"/>
          <w:rtl/>
        </w:rPr>
      </w:pPr>
      <w:r w:rsidRPr="005E3E8F">
        <w:rPr>
          <w:rFonts w:hint="cs"/>
          <w:rtl/>
        </w:rPr>
        <w:t>چکيده:</w:t>
      </w:r>
    </w:p>
    <w:p w:rsidR="00AB4CF8" w:rsidRPr="005E3E8F" w:rsidRDefault="00AB4CF8" w:rsidP="00AB4CF8">
      <w:pPr>
        <w:pStyle w:val="Heading5"/>
        <w:bidi/>
        <w:rPr>
          <w:rFonts w:hint="cs"/>
          <w:rtl/>
        </w:rPr>
      </w:pPr>
      <w:r w:rsidRPr="005E3E8F">
        <w:rPr>
          <w:rFonts w:hint="cs"/>
          <w:rtl/>
        </w:rPr>
        <w:t xml:space="preserve">دولت ايالات متحده در کنار دولت سومالي، دو کشوري هستند که از امضاي کنوانسيون حقوق کودک مبني بر ممنوعيت اجراي حکم حبس ابد براي کودکان، سرباز مي‏زنند. هم اينک بيش از 2270 کودک آمريکايي در زندان‏هاي اين کشور وجود دارند که بايد همه عمر خود را پشت ميله‏هاي زندان بگذرانند. نويسنده با اشاره به اين وضعيت بي‏سابقه در سراسر تاريخ شکل‏گيري ايالات متحده، معتقد است که با روي کار آمدن نومحافظه‏کاران حاکم بر کاخ سفيد و ديدگاه‏هاي فرهنگي و حقوقي متفاوت آنها، ما شاهد شکل‏گيري اين وضعيت  هستيم. از سوي ديگر، اگرچه با روي کار آمدن دموکرات‏ها در کنگره، طرحي از سوي آنان براي حذف مجازات حبس ابد براي کودکان ارائه گرديده، اما از هم اينک محافظه‏کاران با آن مخالفت نموده‏اند. </w:t>
      </w:r>
    </w:p>
    <w:p w:rsidR="00AB4CF8" w:rsidRDefault="00AB4CF8" w:rsidP="00AB4CF8">
      <w:pPr>
        <w:pStyle w:val="Heading5"/>
        <w:bidi/>
        <w:rPr>
          <w:rFonts w:hint="cs"/>
          <w:rtl/>
        </w:rPr>
      </w:pPr>
    </w:p>
    <w:p w:rsidR="00AB4CF8" w:rsidRPr="005E3E8F" w:rsidRDefault="00AB4CF8" w:rsidP="00AB4CF8">
      <w:pPr>
        <w:pStyle w:val="Heading5"/>
        <w:bidi/>
        <w:rPr>
          <w:rFonts w:hint="cs"/>
          <w:rtl/>
        </w:rPr>
      </w:pPr>
    </w:p>
    <w:p w:rsidR="00AB4CF8" w:rsidRPr="007F1263" w:rsidRDefault="00AB4CF8" w:rsidP="00AB4CF8">
      <w:pPr>
        <w:rPr>
          <w:rFonts w:hint="cs"/>
          <w:rtl/>
        </w:rPr>
      </w:pPr>
      <w:r w:rsidRPr="005E3E8F">
        <w:rPr>
          <w:rFonts w:hint="cs"/>
          <w:rtl/>
        </w:rPr>
        <w:t xml:space="preserve">امروزه بسياري از شهروندان ايالات متحده، کشور سومالي را به عنوان يک کشور عقب‏مانده جهان سوم مي‏شناسند. آنان احتمالاً با شنيدن اين مطلب که </w:t>
      </w:r>
      <w:r w:rsidRPr="007F1263">
        <w:rPr>
          <w:rFonts w:hint="cs"/>
          <w:rtl/>
        </w:rPr>
        <w:t>دولت‏هاي سومالي و ايالات متحده داراي يک ويژگي مشترک غيرانساني هستند، بهت‏زده خواهند شد: سرباز زدن از امضاي کنوانسيون حقوق کودکان سازمان ملل متحد که در آن، محکوميت کودکان به حبس ابد، ممنوع شده است.</w:t>
      </w:r>
    </w:p>
    <w:p w:rsidR="00AB4CF8" w:rsidRPr="005E3E8F" w:rsidRDefault="00AB4CF8" w:rsidP="00AB4CF8">
      <w:pPr>
        <w:rPr>
          <w:rFonts w:hint="cs"/>
          <w:rtl/>
        </w:rPr>
      </w:pPr>
      <w:r>
        <w:rPr>
          <w:rFonts w:hint="cs"/>
          <w:noProof/>
          <w:rtl/>
          <w:lang w:bidi="ar-SA"/>
        </w:rPr>
        <w:pict>
          <v:rect id="_x0000_s1026" style="position:absolute;left:0;text-align:left;margin-left:470.6pt;margin-top:163pt;width:56.7pt;height:498.9pt;z-index:251660288;mso-position-horizontal-relative:page;mso-position-vertical-relative:page" filled="f" stroked="f">
            <v:textbox style="mso-next-textbox:#_x0000_s1026" inset="1mm,1mm,1mm,1mm">
              <w:txbxContent>
                <w:p w:rsidR="00AB4CF8" w:rsidRPr="003C0E17" w:rsidRDefault="00AB4CF8" w:rsidP="00AB4CF8">
                  <w:pPr>
                    <w:pStyle w:val="a0"/>
                    <w:bidi/>
                    <w:rPr>
                      <w:rFonts w:hint="cs"/>
                      <w:szCs w:val="22"/>
                      <w:rtl/>
                    </w:rPr>
                  </w:pPr>
                  <w:r w:rsidRPr="00EB2E91">
                    <w:rPr>
                      <w:rFonts w:hint="cs"/>
                      <w:rtl/>
                    </w:rPr>
                    <w:t xml:space="preserve">دولت‏هاي سومالي و ايالات متحده داراي </w:t>
                  </w:r>
                  <w:r>
                    <w:rPr>
                      <w:rFonts w:hint="cs"/>
                      <w:rtl/>
                    </w:rPr>
                    <w:t>يک ويژگي مشترک غيرانساني هستند</w:t>
                  </w:r>
                  <w:r w:rsidRPr="00EB2E91">
                    <w:rPr>
                      <w:rFonts w:hint="cs"/>
                      <w:rtl/>
                    </w:rPr>
                    <w:t>: سرباز زدن از امضاي کنوانسيون حقوق کودکان سازمان ملل متحد که در آن، محکوميت کودکان به حبس ابد، ممنوع شده است.</w:t>
                  </w:r>
                </w:p>
              </w:txbxContent>
            </v:textbox>
            <w10:wrap anchorx="page" anchory="page"/>
          </v:rect>
        </w:pict>
      </w:r>
      <w:r w:rsidRPr="005E3E8F">
        <w:rPr>
          <w:rFonts w:hint="cs"/>
          <w:rtl/>
        </w:rPr>
        <w:t>براساس مفاد اين کنوانسيون بين‏المللي، صدور حکم حبس ابد حتي براي کودکاني که به جرايمي بزرگ دست زده باشند، عملي غيرانساني و مخالف اصول بنيادين يک جامع</w:t>
      </w:r>
      <w:r>
        <w:rPr>
          <w:rFonts w:hint="cs"/>
          <w:rtl/>
        </w:rPr>
        <w:t>ه</w:t>
      </w:r>
      <w:r w:rsidRPr="005E3E8F">
        <w:rPr>
          <w:rFonts w:hint="cs"/>
          <w:rtl/>
        </w:rPr>
        <w:t xml:space="preserve"> مدني بوده و قريب به اتفاق کشورهاي دنيا هم اين موضوع را </w:t>
      </w:r>
      <w:r w:rsidRPr="005E3E8F">
        <w:rPr>
          <w:rFonts w:hint="cs"/>
          <w:rtl/>
        </w:rPr>
        <w:lastRenderedPageBreak/>
        <w:t>پذيرفته‏اند.</w:t>
      </w:r>
      <w:r>
        <w:rPr>
          <w:rFonts w:hint="cs"/>
          <w:rtl/>
        </w:rPr>
        <w:t xml:space="preserve"> </w:t>
      </w:r>
      <w:r w:rsidRPr="005E3E8F">
        <w:rPr>
          <w:rFonts w:hint="cs"/>
          <w:rtl/>
        </w:rPr>
        <w:t xml:space="preserve">براساس گزارش سازمان عفو بين‏الملل و ديده‏بان حقوق بشر، هم اينک حدود 12 کودک در کشورهايي غير از ايالات متحده و سومالي به حبس ابد محکوم شده و در حال گذراندن مجازات خود در زندان‏هاي کشورشان هستند. در ميان اين کودکان، 4 نفر در آفريقاي جنوبي، 7 نفر در اسراييل و يک نفر هم در تانزانيا زندگي مي‏کنند. در مقابل، </w:t>
      </w:r>
      <w:r w:rsidRPr="007F1263">
        <w:rPr>
          <w:rFonts w:hint="cs"/>
          <w:rtl/>
        </w:rPr>
        <w:t>ايالات متحده، هم اينک 2270 کودک محکوم به حبس ابد را در زندان‏هاي خود نگهداري مي‏نمايد که 227 کودک، در زندان‏هاي کاليفرنيا قرار دارند.</w:t>
      </w:r>
      <w:r>
        <w:rPr>
          <w:rFonts w:hint="cs"/>
          <w:rtl/>
        </w:rPr>
        <w:t xml:space="preserve"> </w:t>
      </w:r>
      <w:r w:rsidRPr="005E3E8F">
        <w:rPr>
          <w:rFonts w:hint="cs"/>
          <w:rtl/>
        </w:rPr>
        <w:t>دولت ايالات متحده به دنبال تغييرات اخير در حوزه‏هاي فرهنگي و حقوقي خويش، راه خود را از ساير کشورهاي دنيا در اين زمينه جدا نموده است. البته اگر چه پيش‏زمينه‏هاي حقوقي لازم جهت اجراي حکم حبس ابد براي کودکان، حتي پيش از سال 1980 ميلادي نيز وجود داشته، اما آمريکايي‏ها به ندرت به اين موضوع توجه مي‏نمودند. به علاوه، با روي کار آمدن نومحافظه‏کاران و ديدگاه‏هاي جديد آنها در جهت افزايش مجازات‏هاي زندان، ما شاهد تغييرات بي‏رحمانه بيشتري در اين زمينه بوده‏ايم. بي‏ترديد ما در سراسر تاريخ شکل‏گيري ايالات متحده، شاهد چنين زندان‏ها</w:t>
      </w:r>
      <w:r>
        <w:rPr>
          <w:rFonts w:hint="cs"/>
          <w:rtl/>
        </w:rPr>
        <w:t>ي</w:t>
      </w:r>
      <w:r w:rsidRPr="005E3E8F">
        <w:rPr>
          <w:rFonts w:hint="cs"/>
          <w:rtl/>
        </w:rPr>
        <w:t xml:space="preserve"> مخوف و هراسناکي نبوده‏ايم.</w:t>
      </w:r>
    </w:p>
    <w:p w:rsidR="00AB4CF8" w:rsidRPr="005E3E8F" w:rsidRDefault="00AB4CF8" w:rsidP="00AB4CF8">
      <w:pPr>
        <w:rPr>
          <w:rFonts w:hint="cs"/>
          <w:rtl/>
        </w:rPr>
      </w:pPr>
      <w:r w:rsidRPr="005E3E8F">
        <w:rPr>
          <w:rFonts w:hint="cs"/>
          <w:rtl/>
        </w:rPr>
        <w:t xml:space="preserve">از سوي ديگر ما شاهديم که در مقايسه با اقدامات تربيتي و پرورشي، دادگاه‏هاي ما بيشتر بر مسأله اجراي مجازات‏ها متمرکز شده‏اند. تا پيش از سال 1990 ميلادي، تنها چند کودک محکوم به حبس ابد در زندان‏هاي ايالات متحده وجود داشتند. </w:t>
      </w:r>
      <w:r w:rsidRPr="005E3E8F">
        <w:rPr>
          <w:rFonts w:hint="cs"/>
          <w:b/>
          <w:bCs/>
          <w:rtl/>
        </w:rPr>
        <w:t>جورج بوش</w:t>
      </w:r>
      <w:r w:rsidRPr="005E3E8F">
        <w:rPr>
          <w:rFonts w:hint="cs"/>
          <w:rtl/>
        </w:rPr>
        <w:t xml:space="preserve"> در برابر انتقادات مطرح شده پيرامون اين موضوع اعلام نموده که اين مجازات، تنها براي کودکاني اجرا مي‏گردد که به جرايم بزرگي دست زده باشند. اما برخلاف اين ادعاها، ما شاهديم که حقيقت کاملاً وارونه است.</w:t>
      </w:r>
      <w:r>
        <w:rPr>
          <w:rFonts w:hint="cs"/>
          <w:rtl/>
        </w:rPr>
        <w:t xml:space="preserve"> </w:t>
      </w:r>
      <w:r w:rsidRPr="005E3E8F">
        <w:rPr>
          <w:rFonts w:hint="cs"/>
          <w:rtl/>
        </w:rPr>
        <w:t>مثلاً براساس بررسي‏هاي ديده‏بان حقوق بشر، 26 % کودکان محکوم به حبس ابد، براساس قانون جزايي ويژه افراد بزهکار و جنايتکار، به چنين مجازات‏هايي محکوم گرديده‏اند. بر اساس اين قوانين، حتي افرادي که به صورت مستقيم در يک جنايت مشارکت نداشته‏اند، از همان سطح مسئوليت افراد مجرم اصل</w:t>
      </w:r>
      <w:r>
        <w:rPr>
          <w:rFonts w:hint="cs"/>
          <w:rtl/>
        </w:rPr>
        <w:t>ي</w:t>
      </w:r>
      <w:r w:rsidRPr="005E3E8F">
        <w:rPr>
          <w:rFonts w:hint="cs"/>
          <w:rtl/>
        </w:rPr>
        <w:t xml:space="preserve"> </w:t>
      </w:r>
      <w:r w:rsidRPr="005E3E8F">
        <w:rPr>
          <w:rFonts w:hint="cs"/>
          <w:rtl/>
        </w:rPr>
        <w:lastRenderedPageBreak/>
        <w:t>برخوردارند، حتي اگر تمايلي به آسيب رساندن به ديگري نداشته و داراي اسلحه‏اي نيز نباشند.</w:t>
      </w:r>
    </w:p>
    <w:p w:rsidR="00AB4CF8" w:rsidRPr="007F1263" w:rsidRDefault="00AB4CF8" w:rsidP="00AB4CF8">
      <w:pPr>
        <w:rPr>
          <w:rFonts w:hint="cs"/>
          <w:rtl/>
        </w:rPr>
      </w:pPr>
      <w:r>
        <w:rPr>
          <w:rFonts w:hint="cs"/>
          <w:noProof/>
          <w:rtl/>
          <w:lang w:bidi="ar-SA"/>
        </w:rPr>
        <w:pict>
          <v:rect id="_x0000_s1027" style="position:absolute;left:0;text-align:left;margin-left:66.6pt;margin-top:163pt;width:56.7pt;height:498.9pt;z-index:251661312;mso-position-horizontal-relative:page;mso-position-vertical-relative:page" filled="f" stroked="f">
            <v:textbox style="mso-next-textbox:#_x0000_s1027" inset="1mm,1mm,1mm,1mm">
              <w:txbxContent>
                <w:p w:rsidR="00AB4CF8" w:rsidRPr="00D27C7B" w:rsidRDefault="00AB4CF8" w:rsidP="00AB4CF8">
                  <w:pPr>
                    <w:pStyle w:val="a1"/>
                    <w:rPr>
                      <w:rFonts w:hint="cs"/>
                      <w:szCs w:val="22"/>
                      <w:rtl/>
                    </w:rPr>
                  </w:pPr>
                  <w:r w:rsidRPr="00E03D34">
                    <w:rPr>
                      <w:rFonts w:hint="cs"/>
                      <w:rtl/>
                    </w:rPr>
                    <w:t>ايالات متحده، هم اينک 2270 کودک محکوم به حبس ابد را در زندان‏هاي خود نگهداري مي‏نمايد که 227 کودک، در زندان‏هاي کاليفرنيا قرار دارند.</w:t>
                  </w:r>
                </w:p>
              </w:txbxContent>
            </v:textbox>
            <w10:wrap anchorx="page" anchory="page"/>
          </v:rect>
        </w:pict>
      </w:r>
      <w:r w:rsidRPr="005E3E8F">
        <w:rPr>
          <w:rFonts w:hint="cs"/>
          <w:rtl/>
        </w:rPr>
        <w:t>کشورهاي اروپايي و بسياري از دولت‏هاي ديگر، استناد به اين قوانين را براي مجازات کودکان غيرعادلانه مي‏دانند، اما ما همچنان شايد تداوم اين وضعيت در ايالات کاليفرنيا هستيم.</w:t>
      </w:r>
      <w:r>
        <w:rPr>
          <w:rFonts w:hint="cs"/>
          <w:rtl/>
        </w:rPr>
        <w:t xml:space="preserve"> </w:t>
      </w:r>
      <w:r w:rsidRPr="005E3E8F">
        <w:rPr>
          <w:rFonts w:hint="cs"/>
          <w:rtl/>
        </w:rPr>
        <w:t xml:space="preserve">سيستم کنوني قضايي ايالات متحده براساس قوانين مستقل ايالت‏هاي مختلف پايه‏گذاري شده است. اينک در 42 ايالت ما شاهد وجود قوانيني هستيم که براساس آنها، مجازات حبس ابد براي کودکان مجاز شناخته مي‏شود. از اين ايالت‏ها نيز، 6 ايالت کاليفرنيا، پنسيلوانيا، ميشيگان، لوييزيانا، فلوريدا و ميسوري، در مجموع 1500 کودک محکوم به حبس ابد را از مجموع 2270 کودک مواجه با چنين حکم تکان دهنده‏اي در خود جاي داده‏اند. </w:t>
      </w:r>
      <w:r w:rsidRPr="007F1263">
        <w:rPr>
          <w:rFonts w:hint="cs"/>
          <w:rtl/>
        </w:rPr>
        <w:t>البته اکثر اين کودکان، جرايم خود را در سن 14 سالگي و يا کمتر مرتکب شده‏اند، ولي براساس قوانين کنوني، هيچ گونه ارفاق و يا استثنايي براي آنان قايل نشده‏اند.</w:t>
      </w:r>
    </w:p>
    <w:p w:rsidR="00AB4CF8" w:rsidRPr="005E3E8F" w:rsidRDefault="00AB4CF8" w:rsidP="00AB4CF8">
      <w:pPr>
        <w:rPr>
          <w:rFonts w:hint="cs"/>
          <w:rtl/>
        </w:rPr>
      </w:pPr>
      <w:r w:rsidRPr="005E3E8F">
        <w:rPr>
          <w:rFonts w:hint="cs"/>
          <w:rtl/>
        </w:rPr>
        <w:t>قضات آمريکايي هم بدون هيچ‏گونه اختياري، با عمل دقيق به قوانين فعلي، کودکان مجرم را به حبس هاي ابدي که احتمال آزادي آنان در آينده تقريباً صفر است، محکوم مي‏نمايند.</w:t>
      </w:r>
    </w:p>
    <w:p w:rsidR="00AB4CF8" w:rsidRPr="005E3E8F" w:rsidRDefault="00AB4CF8" w:rsidP="00AB4CF8">
      <w:pPr>
        <w:spacing w:line="228" w:lineRule="auto"/>
        <w:rPr>
          <w:rFonts w:hint="cs"/>
          <w:rtl/>
        </w:rPr>
      </w:pPr>
      <w:r w:rsidRPr="005E3E8F">
        <w:rPr>
          <w:rFonts w:hint="cs"/>
          <w:rtl/>
        </w:rPr>
        <w:t xml:space="preserve">در کاليفرنيا، اعمال چنين مجازات‏هاي سخت‏گيرانه و انتقادبرانگيزي، براساس فرهنگ سياسي کنوني حاکم بر ايالات متحده صورت مي‏گيرد که در آن، براي همه جرايم، کيفرهاي عموماً شديدي در نظر گرفته مي‏شود. مثلاً به اتفاقات زندگي </w:t>
      </w:r>
      <w:r w:rsidRPr="005E3E8F">
        <w:rPr>
          <w:rFonts w:hint="cs"/>
          <w:b/>
          <w:bCs/>
          <w:rtl/>
        </w:rPr>
        <w:t>سارا کروزان</w:t>
      </w:r>
      <w:r w:rsidRPr="005E3E8F">
        <w:rPr>
          <w:rFonts w:hint="cs"/>
          <w:rtl/>
        </w:rPr>
        <w:t xml:space="preserve"> توجه کنيد: او در ريور سايد کانتي به دنيا آمد. مادرش به دليل اعتياد به موادمخدر، همواره با وي بدرفتاري مي‏نمود. اين دخترک در 11 سالگي با مردي 33 ساله دوست شد که به سارا قول داده بود از وي نگهداري کند. پس </w:t>
      </w:r>
      <w:r>
        <w:rPr>
          <w:rFonts w:hint="cs"/>
          <w:noProof/>
          <w:rtl/>
          <w:lang w:bidi="ar-SA"/>
        </w:rPr>
        <w:pict>
          <v:rect id="_x0000_s1028" style="position:absolute;left:0;text-align:left;margin-left:470.6pt;margin-top:163pt;width:56.7pt;height:498.9pt;z-index:251662336;mso-position-horizontal-relative:page;mso-position-vertical-relative:page" filled="f" stroked="f">
            <v:textbox style="mso-next-textbox:#_x0000_s1028" inset="1mm,1mm,1mm,1mm">
              <w:txbxContent>
                <w:p w:rsidR="00AB4CF8" w:rsidRPr="00D27C7B" w:rsidRDefault="00AB4CF8" w:rsidP="00AB4CF8">
                  <w:pPr>
                    <w:pStyle w:val="a0"/>
                    <w:bidi/>
                    <w:rPr>
                      <w:rFonts w:hint="cs"/>
                      <w:szCs w:val="22"/>
                      <w:rtl/>
                    </w:rPr>
                  </w:pPr>
                  <w:r w:rsidRPr="00E03D34">
                    <w:rPr>
                      <w:rFonts w:hint="cs"/>
                      <w:rtl/>
                    </w:rPr>
                    <w:t>البته اکثر اين کودکان، جرايم خود را در سن 14 سالگي و يا کمتر مرتکب شده‏اند، ولي براساس قوانين کنوني، هيچ گونه ارفاق و يا استثنايي براي آنان قايل نشده‏اند.</w:t>
                  </w:r>
                </w:p>
              </w:txbxContent>
            </v:textbox>
            <w10:wrap anchorx="page" anchory="page"/>
          </v:rect>
        </w:pict>
      </w:r>
      <w:r w:rsidRPr="005E3E8F">
        <w:rPr>
          <w:rFonts w:hint="cs"/>
          <w:rtl/>
        </w:rPr>
        <w:t>از جلب اعتماد او، آن مرد سارا را مورد اذيت و آزار جنسي قرار داد و وي را مجبور کرد که به روسپي‏گري بپردازد. در 16 سالگي، دخترک آن مرد را کشت. پس از دستگيري، دادستان ريورسايد کانتي، تصميم داشت که به دليل سن کم سارا، از ادامه محاکمه وي در دادگاه جنايي ايالت</w:t>
      </w:r>
      <w:r>
        <w:rPr>
          <w:rFonts w:hint="cs"/>
          <w:rtl/>
        </w:rPr>
        <w:t xml:space="preserve"> </w:t>
      </w:r>
      <w:r w:rsidRPr="005E3E8F">
        <w:rPr>
          <w:rFonts w:hint="cs"/>
          <w:rtl/>
        </w:rPr>
        <w:t xml:space="preserve">جلوگيري کند، اما يکي از قضات محلي، پس از بررسي پرونده دستور داد که ادامه محاکمه در يک شعبه ويژه </w:t>
      </w:r>
      <w:r w:rsidRPr="005E3E8F">
        <w:rPr>
          <w:rFonts w:hint="cs"/>
          <w:rtl/>
        </w:rPr>
        <w:lastRenderedPageBreak/>
        <w:t>رسيدگي به جرايم بزرگ سالان پي گيري شود. سارا کروزان هم اينک 28 سال سن دارد و به عنوان يک چهره شناخته شده زنداني شناخته مي‏شود. سارا بايد بقيه عمر خود را در زندان‏هاي مخوف آمريکا بگذارند، زيرا او در 16 سالگي مرتکب قتل يک مرد بدسابقه شده بود.</w:t>
      </w:r>
    </w:p>
    <w:p w:rsidR="00AB4CF8" w:rsidRPr="005E3E8F" w:rsidRDefault="00AB4CF8" w:rsidP="00AB4CF8">
      <w:pPr>
        <w:spacing w:line="228" w:lineRule="auto"/>
        <w:rPr>
          <w:rFonts w:hint="cs"/>
          <w:rtl/>
        </w:rPr>
      </w:pPr>
      <w:r w:rsidRPr="005E3E8F">
        <w:rPr>
          <w:rFonts w:hint="cs"/>
          <w:rtl/>
        </w:rPr>
        <w:t>نظير کروزان، بسياري ديگر از اين کودکان در محيطي بزرگ شده‏اند که دارا بودن دوره کودکي پر افت و خيز و وجود والدين بزهکار، از مهم ترين مشخصه‏هاي آن به شمار مي‏رود. حتي اگر اين عوامل جزو دلايل انجام چنين جرايمي به شمار نرود، بي‏ترديد بايد به دليل وجود اين شرايط، در مورد چنين کودکان تحت تعقيبي با اغماض برخورد گردد. از سوي ديگر، اگر اتفاقات روي داده در مورد سارا کروزان، در ايالت</w:t>
      </w:r>
      <w:r>
        <w:rPr>
          <w:rFonts w:hint="cs"/>
          <w:rtl/>
        </w:rPr>
        <w:t>ي</w:t>
      </w:r>
      <w:r w:rsidRPr="005E3E8F">
        <w:rPr>
          <w:rFonts w:hint="cs"/>
          <w:rtl/>
        </w:rPr>
        <w:t xml:space="preserve"> ديگر روي مي‏داد، مطمئنا ما با شرايط متفاوتي روبه‏رو مي‏شديم. چرا که دادگاه ريور کانتي، حتي در مقايسه با ساير دادگاه‏هاي کاليفرنيا، از عدم انعطاف و سخت‏گيري بيشتري برخوردار است.</w:t>
      </w:r>
    </w:p>
    <w:p w:rsidR="00AB4CF8" w:rsidRPr="005E3E8F" w:rsidRDefault="00AB4CF8" w:rsidP="00AB4CF8">
      <w:pPr>
        <w:spacing w:line="228" w:lineRule="auto"/>
        <w:rPr>
          <w:rFonts w:hint="cs"/>
          <w:rtl/>
        </w:rPr>
      </w:pPr>
      <w:r w:rsidRPr="005E3E8F">
        <w:rPr>
          <w:rFonts w:hint="cs"/>
          <w:rtl/>
        </w:rPr>
        <w:t xml:space="preserve">اخيراً دو سناتور دموکرات، </w:t>
      </w:r>
      <w:r w:rsidRPr="005E3E8F">
        <w:rPr>
          <w:rFonts w:hint="cs"/>
          <w:b/>
          <w:bCs/>
          <w:rtl/>
        </w:rPr>
        <w:t>ليلا نديي</w:t>
      </w:r>
      <w:r w:rsidRPr="005E3E8F">
        <w:rPr>
          <w:rFonts w:hint="cs"/>
          <w:rtl/>
        </w:rPr>
        <w:t xml:space="preserve"> از سان فرانسيسکو و </w:t>
      </w:r>
      <w:r w:rsidRPr="005E3E8F">
        <w:rPr>
          <w:rFonts w:hint="cs"/>
          <w:b/>
          <w:bCs/>
          <w:rtl/>
        </w:rPr>
        <w:t>گلوريا رومرو</w:t>
      </w:r>
      <w:r w:rsidRPr="005E3E8F">
        <w:rPr>
          <w:rFonts w:hint="cs"/>
          <w:rtl/>
        </w:rPr>
        <w:t xml:space="preserve"> از لوس‏آنجلس، طرح مشترکي را پيشنهاد نموده‏اند که براساس آن، صدور حکم حبس ابد براي کودکان با ممنوعيت روبه‏رو شود. در اين طرح پيش‏بيني گرديده که کودکان محکوم کنوني نيز که بايد تا پايان عمر در زندان‏هاي آمريکا باقي بمانند، پس از رسيدن به 25 سالگي آزاد گردند. البته اگرچه اين لايحه يک اقدام تحسين برانگيز به شمار مي‏رود، ولي محافظه‏کاران از هم اينک در برابر چنين طرحي، موضع‏گيري‏هاي شديد</w:t>
      </w:r>
      <w:r>
        <w:rPr>
          <w:rFonts w:hint="cs"/>
          <w:rtl/>
        </w:rPr>
        <w:t>ي</w:t>
      </w:r>
      <w:r w:rsidRPr="005E3E8F">
        <w:rPr>
          <w:rFonts w:hint="cs"/>
          <w:rtl/>
        </w:rPr>
        <w:t xml:space="preserve"> اتخاذ نموده‏اند.</w:t>
      </w:r>
    </w:p>
    <w:p w:rsidR="00AB4CF8" w:rsidRPr="005E3E8F" w:rsidRDefault="00AB4CF8" w:rsidP="00AB4CF8">
      <w:pPr>
        <w:jc w:val="right"/>
        <w:rPr>
          <w:rFonts w:hint="cs"/>
          <w:rtl/>
        </w:rPr>
      </w:pPr>
      <w:r w:rsidRPr="005E3E8F">
        <w:rPr>
          <w:rFonts w:hint="cs"/>
          <w:rtl/>
        </w:rPr>
        <w:t xml:space="preserve">منبع: </w:t>
      </w:r>
      <w:r w:rsidRPr="005E3E8F">
        <w:t>www.Stgate.com</w:t>
      </w:r>
    </w:p>
    <w:p w:rsidR="00AB4CF8" w:rsidRDefault="00AB4CF8" w:rsidP="00AB4CF8">
      <w:pPr>
        <w:rPr>
          <w:rtl/>
        </w:rPr>
        <w:sectPr w:rsidR="00AB4CF8" w:rsidSect="00414A77">
          <w:headerReference w:type="default" r:id="rId6"/>
          <w:footerReference w:type="default" r:id="rId7"/>
          <w:footnotePr>
            <w:numRestart w:val="eachPage"/>
          </w:footnotePr>
          <w:pgSz w:w="11906" w:h="16838" w:code="9"/>
          <w:pgMar w:top="3260" w:right="2693" w:bottom="3260" w:left="2693" w:header="709" w:footer="709" w:gutter="0"/>
          <w:cols w:space="708"/>
          <w:bidi/>
          <w:rtlGutter/>
          <w:docGrid w:linePitch="360"/>
        </w:sectPr>
      </w:pPr>
    </w:p>
    <w:p w:rsidR="005701A4" w:rsidRDefault="005701A4"/>
    <w:sectPr w:rsidR="005701A4" w:rsidSect="00A07789">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2D3" w:rsidRDefault="002D52D3" w:rsidP="00AB4CF8">
      <w:r>
        <w:separator/>
      </w:r>
    </w:p>
  </w:endnote>
  <w:endnote w:type="continuationSeparator" w:id="1">
    <w:p w:rsidR="002D52D3" w:rsidRDefault="002D52D3" w:rsidP="00AB4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F8" w:rsidRDefault="00AB4CF8">
    <w:pPr>
      <w:pStyle w:val="Footer"/>
    </w:pPr>
    <w:r>
      <w:rPr>
        <w:noProof/>
        <w:lang w:bidi="ar-SA"/>
      </w:rPr>
      <w:pict>
        <v:rect id="_x0000_s2049" style="position:absolute;left:0;text-align:left;margin-left:-44pt;margin-top:-169.85pt;width:32.8pt;height:27pt;rotation:-270;z-index:-251656192" filled="f" stroked="f">
          <v:textbox style="mso-next-textbox:#_x0000_s2049" inset="1mm,1mm,1mm,1mm">
            <w:txbxContent>
              <w:p w:rsidR="00AB4CF8" w:rsidRPr="00F10908" w:rsidRDefault="00AB4CF8" w:rsidP="00893475">
                <w:pPr>
                  <w:pStyle w:val="Heade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Pr>
                    <w:rStyle w:val="PageNumber"/>
                    <w:noProof/>
                    <w:sz w:val="28"/>
                    <w:szCs w:val="28"/>
                    <w:rtl/>
                  </w:rPr>
                  <w:t>4</w:t>
                </w:r>
                <w:r w:rsidRPr="00F10908">
                  <w:rPr>
                    <w:rStyle w:val="PageNumber"/>
                    <w:sz w:val="28"/>
                    <w:szCs w:val="28"/>
                  </w:rPr>
                  <w:fldChar w:fldCharType="end"/>
                </w:r>
              </w:p>
              <w:p w:rsidR="00AB4CF8" w:rsidRDefault="00AB4CF8" w:rsidP="001F7060">
                <w:pPr>
                  <w:rPr>
                    <w:rFonts w:hint="cs"/>
                  </w:rPr>
                </w:pPr>
              </w:p>
              <w:p w:rsidR="00AB4CF8" w:rsidRDefault="00AB4CF8" w:rsidP="001F7060"/>
              <w:p w:rsidR="00AB4CF8" w:rsidRDefault="00AB4CF8" w:rsidP="00FE37D0">
                <w:pPr>
                  <w:pStyle w:val="Header"/>
                  <w:spacing w:line="168" w:lineRule="auto"/>
                  <w:jc w:val="right"/>
                  <w:rPr>
                    <w:rFonts w:hint="cs"/>
                    <w:szCs w:val="22"/>
                    <w:rtl/>
                  </w:rPr>
                </w:pPr>
                <w:r w:rsidRPr="00D7744B">
                  <w:rPr>
                    <w:rFonts w:hint="cs"/>
                    <w:rtl/>
                  </w:rPr>
                  <w:t>و</w:t>
                </w:r>
                <w:r w:rsidRPr="002C061B">
                  <w:rPr>
                    <w:rFonts w:hint="cs"/>
                    <w:rtl/>
                  </w:rPr>
                  <w:t>آيا مصرف بيشتر، رضايتمندي بيشتري</w:t>
                </w:r>
              </w:p>
              <w:p w:rsidR="00AB4CF8" w:rsidRPr="009F7938" w:rsidRDefault="00AB4CF8" w:rsidP="00FE37D0">
                <w:pPr>
                  <w:pStyle w:val="Header"/>
                  <w:spacing w:line="168" w:lineRule="auto"/>
                  <w:jc w:val="right"/>
                  <w:rPr>
                    <w:rFonts w:hint="cs"/>
                    <w:szCs w:val="22"/>
                  </w:rPr>
                </w:pPr>
              </w:p>
              <w:p w:rsidR="00AB4CF8" w:rsidRPr="009F7938" w:rsidRDefault="00AB4CF8" w:rsidP="00FE37D0">
                <w:pPr>
                  <w:spacing w:line="168" w:lineRule="auto"/>
                  <w:jc w:val="right"/>
                  <w:rPr>
                    <w:szCs w:val="22"/>
                  </w:rPr>
                </w:pPr>
                <w:r>
                  <w:rPr>
                    <w:rFonts w:hint="cs"/>
                    <w:szCs w:val="22"/>
                    <w:rtl/>
                  </w:rPr>
                  <w:t xml:space="preserve">را به ارمغان مي‌آورد؟ </w:t>
                </w:r>
              </w:p>
              <w:p w:rsidR="00AB4CF8" w:rsidRPr="009F7938" w:rsidRDefault="00AB4CF8" w:rsidP="00FE37D0">
                <w:pPr>
                  <w:spacing w:line="168" w:lineRule="auto"/>
                  <w:jc w:val="right"/>
                  <w:rPr>
                    <w:szCs w:val="22"/>
                  </w:rPr>
                </w:pPr>
              </w:p>
              <w:p w:rsidR="00AB4CF8" w:rsidRPr="00B4021E" w:rsidRDefault="00AB4CF8" w:rsidP="00E368EA">
                <w:pPr>
                  <w:pStyle w:val="Header"/>
                  <w:spacing w:line="168" w:lineRule="auto"/>
                  <w:jc w:val="right"/>
                  <w:rPr>
                    <w:rFonts w:hint="cs"/>
                    <w:szCs w:val="22"/>
                  </w:rPr>
                </w:pPr>
              </w:p>
              <w:p w:rsidR="00AB4CF8" w:rsidRPr="00B4021E" w:rsidRDefault="00AB4CF8" w:rsidP="00E368EA">
                <w:pPr>
                  <w:pStyle w:val="Header"/>
                  <w:spacing w:line="168" w:lineRule="auto"/>
                  <w:jc w:val="right"/>
                  <w:rPr>
                    <w:rFonts w:hint="cs"/>
                    <w:szCs w:val="22"/>
                  </w:rPr>
                </w:pPr>
                <w:r w:rsidRPr="00D7744B">
                  <w:rPr>
                    <w:rFonts w:hint="cs"/>
                    <w:rtl/>
                  </w:rPr>
                  <w:t xml:space="preserve"> اينک مادري لباس رزم مي‌پوشد</w:t>
                </w:r>
              </w:p>
              <w:p w:rsidR="00AB4CF8" w:rsidRPr="00B768F7" w:rsidRDefault="00AB4CF8" w:rsidP="00B768F7">
                <w:pPr>
                  <w:spacing w:line="156" w:lineRule="auto"/>
                  <w:jc w:val="right"/>
                  <w:rPr>
                    <w:rFonts w:cs="Lotus"/>
                    <w:bCs/>
                    <w:szCs w:val="22"/>
                    <w:rtl/>
                  </w:rPr>
                </w:pPr>
                <w:r w:rsidRPr="00B768F7">
                  <w:rPr>
                    <w:rFonts w:cs="Lotus"/>
                    <w:bCs/>
                    <w:szCs w:val="22"/>
                    <w:rtl/>
                  </w:rPr>
                  <w:t xml:space="preserve">جنگ در خانه؛ اختلافات رواني، اعتياد، </w:t>
                </w:r>
              </w:p>
              <w:p w:rsidR="00AB4CF8" w:rsidRDefault="00AB4CF8" w:rsidP="00513221">
                <w:r w:rsidRPr="00B768F7">
                  <w:rPr>
                    <w:rFonts w:cs="Lotus"/>
                    <w:bCs/>
                    <w:szCs w:val="22"/>
                    <w:rtl/>
                  </w:rPr>
                  <w:t>بي‌خانماني و خودکشي در همسايگي شما!</w:t>
                </w:r>
              </w:p>
              <w:p w:rsidR="00AB4CF8" w:rsidRDefault="00AB4CF8" w:rsidP="00513221">
                <w:r w:rsidRPr="008C4653">
                  <w:rPr>
                    <w:rFonts w:cs="Lotus"/>
                    <w:bCs/>
                    <w:szCs w:val="22"/>
                    <w:rtl/>
                  </w:rPr>
                  <w:t>قصه تلخ دختران مدل صنعت پوشاک و مد</w:t>
                </w:r>
                <w:r w:rsidRPr="00B768F7">
                  <w:rPr>
                    <w:rtl/>
                  </w:rPr>
                  <w:t>!</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2D3" w:rsidRDefault="002D52D3" w:rsidP="00AB4CF8">
      <w:r>
        <w:separator/>
      </w:r>
    </w:p>
  </w:footnote>
  <w:footnote w:type="continuationSeparator" w:id="1">
    <w:p w:rsidR="002D52D3" w:rsidRDefault="002D52D3" w:rsidP="00AB4CF8">
      <w:r>
        <w:continuationSeparator/>
      </w:r>
    </w:p>
  </w:footnote>
  <w:footnote w:id="2">
    <w:p w:rsidR="00AB4CF8" w:rsidRPr="009713E1" w:rsidRDefault="00AB4CF8" w:rsidP="00AB4CF8">
      <w:pPr>
        <w:pStyle w:val="FootnoteText"/>
      </w:pPr>
      <w:r w:rsidRPr="009713E1">
        <w:rPr>
          <w:rStyle w:val="FootnoteReference"/>
        </w:rPr>
        <w:footnoteRef/>
      </w:r>
      <w:r w:rsidRPr="009713E1">
        <w:rPr>
          <w:rFonts w:hint="cs"/>
          <w:rtl/>
        </w:rPr>
        <w:t xml:space="preserve">- </w:t>
      </w:r>
      <w:r w:rsidRPr="009713E1">
        <w:t>Daniel Macallair</w:t>
      </w:r>
      <w:r w:rsidRPr="009713E1">
        <w:rPr>
          <w:rtl/>
        </w:rPr>
        <w:t>: مدير مؤسسه عدالت قضايى براى كودكان و استاد دانشكده حقوق دانشگاه ايالتى سان فرانسيسكو.</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F8" w:rsidRDefault="00AB4CF8" w:rsidP="00104421">
    <w:pPr>
      <w:pStyle w:val="Header"/>
      <w:rPr>
        <w:rFonts w:hint="cs"/>
      </w:rPr>
    </w:pPr>
    <w:r>
      <w:rPr>
        <w:noProof/>
        <w:lang w:bidi="ar-SA"/>
      </w:rPr>
      <w:pict>
        <v:rect id="_x0000_s2051" style="position:absolute;left:0;text-align:left;margin-left:-44.05pt;margin-top:402.05pt;width:44.5pt;height:186.05pt;z-index:-251654144" filled="f" stroked="f">
          <v:textbox style="layout-flow:vertical;mso-layout-flow-alt:bottom-to-top;mso-next-textbox:#_x0000_s2051">
            <w:txbxContent>
              <w:p w:rsidR="00AB4CF8" w:rsidRDefault="00AB4CF8" w:rsidP="00BF4FA0">
                <w:pPr>
                  <w:spacing w:line="168" w:lineRule="auto"/>
                  <w:jc w:val="right"/>
                  <w:rPr>
                    <w:rFonts w:cs="Lotus" w:hint="cs"/>
                    <w:b/>
                    <w:bCs/>
                    <w:szCs w:val="22"/>
                    <w:rtl/>
                  </w:rPr>
                </w:pPr>
                <w:r w:rsidRPr="00791030">
                  <w:rPr>
                    <w:rFonts w:cs="Lotus"/>
                    <w:b/>
                    <w:bCs/>
                    <w:szCs w:val="22"/>
                    <w:rtl/>
                  </w:rPr>
                  <w:t>آمريکا و سومالي همچنان بر اجراي حکم</w:t>
                </w:r>
              </w:p>
              <w:p w:rsidR="00AB4CF8" w:rsidRPr="00791030" w:rsidRDefault="00AB4CF8" w:rsidP="00BF4FA0">
                <w:pPr>
                  <w:spacing w:line="168" w:lineRule="auto"/>
                  <w:jc w:val="right"/>
                  <w:rPr>
                    <w:rFonts w:cs="Lotus" w:hint="cs"/>
                    <w:b/>
                    <w:bCs/>
                    <w:szCs w:val="22"/>
                    <w:rtl/>
                  </w:rPr>
                </w:pPr>
                <w:r>
                  <w:rPr>
                    <w:rFonts w:cs="Lotus" w:hint="cs"/>
                    <w:b/>
                    <w:bCs/>
                    <w:szCs w:val="22"/>
                    <w:rtl/>
                  </w:rPr>
                  <w:t>حبس ابد براي کودکان، اصرار مي‌ورزند</w:t>
                </w:r>
              </w:p>
            </w:txbxContent>
          </v:textbox>
        </v:rect>
      </w:pict>
    </w:r>
    <w:r>
      <w:rPr>
        <w:rFonts w:hint="cs"/>
        <w:noProof/>
        <w:lang w:bidi="ar-SA"/>
      </w:rPr>
      <w:pict>
        <v:line id="_x0000_s2050" style="position:absolute;left:0;text-align:left;z-index:251661312;mso-position-horizontal-relative:page" from="125pt,125pt" to="125pt,627.7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numRestart w:val="eachPage"/>
    <w:footnote w:id="0"/>
    <w:footnote w:id="1"/>
  </w:footnotePr>
  <w:endnotePr>
    <w:endnote w:id="0"/>
    <w:endnote w:id="1"/>
  </w:endnotePr>
  <w:compat/>
  <w:rsids>
    <w:rsidRoot w:val="00AB4CF8"/>
    <w:rsid w:val="00003FC9"/>
    <w:rsid w:val="00007FED"/>
    <w:rsid w:val="000108B1"/>
    <w:rsid w:val="00011606"/>
    <w:rsid w:val="000130B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508D1"/>
    <w:rsid w:val="00151559"/>
    <w:rsid w:val="001526FF"/>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61A2"/>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F8"/>
    <w:rsid w:val="00225AE2"/>
    <w:rsid w:val="0023150C"/>
    <w:rsid w:val="00231D79"/>
    <w:rsid w:val="00233416"/>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D0D4D"/>
    <w:rsid w:val="002D4799"/>
    <w:rsid w:val="002D52D3"/>
    <w:rsid w:val="002D5AC8"/>
    <w:rsid w:val="002D60EC"/>
    <w:rsid w:val="002E0CC9"/>
    <w:rsid w:val="002E0D11"/>
    <w:rsid w:val="002E0F71"/>
    <w:rsid w:val="002E65D9"/>
    <w:rsid w:val="002E6C22"/>
    <w:rsid w:val="002E727E"/>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5846"/>
    <w:rsid w:val="00395B3A"/>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5021"/>
    <w:rsid w:val="0060730D"/>
    <w:rsid w:val="00611024"/>
    <w:rsid w:val="0061347C"/>
    <w:rsid w:val="006172AD"/>
    <w:rsid w:val="0061746E"/>
    <w:rsid w:val="00617888"/>
    <w:rsid w:val="0062101A"/>
    <w:rsid w:val="00621256"/>
    <w:rsid w:val="0062273D"/>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3AD"/>
    <w:rsid w:val="006919D8"/>
    <w:rsid w:val="0069263C"/>
    <w:rsid w:val="006949A1"/>
    <w:rsid w:val="00694E32"/>
    <w:rsid w:val="00697535"/>
    <w:rsid w:val="006A3942"/>
    <w:rsid w:val="006A476D"/>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5660"/>
    <w:rsid w:val="0071677A"/>
    <w:rsid w:val="00717489"/>
    <w:rsid w:val="007222B2"/>
    <w:rsid w:val="00730B91"/>
    <w:rsid w:val="00733400"/>
    <w:rsid w:val="00734044"/>
    <w:rsid w:val="00734996"/>
    <w:rsid w:val="00736639"/>
    <w:rsid w:val="007369FC"/>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4CF8"/>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457F"/>
    <w:rsid w:val="00B21760"/>
    <w:rsid w:val="00B34137"/>
    <w:rsid w:val="00B3469A"/>
    <w:rsid w:val="00B3710B"/>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305A"/>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254E"/>
    <w:rsid w:val="00E84A34"/>
    <w:rsid w:val="00E8578E"/>
    <w:rsid w:val="00E85A00"/>
    <w:rsid w:val="00E9124F"/>
    <w:rsid w:val="00E93916"/>
    <w:rsid w:val="00E948A8"/>
    <w:rsid w:val="00EA0922"/>
    <w:rsid w:val="00EA288F"/>
    <w:rsid w:val="00EA6A7F"/>
    <w:rsid w:val="00EB0507"/>
    <w:rsid w:val="00EB0CB3"/>
    <w:rsid w:val="00EC2959"/>
    <w:rsid w:val="00EC4CED"/>
    <w:rsid w:val="00EC6380"/>
    <w:rsid w:val="00ED02D4"/>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AB4CF8"/>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AB4CF8"/>
    <w:pPr>
      <w:keepNext/>
      <w:spacing w:after="120" w:line="240" w:lineRule="auto"/>
      <w:ind w:firstLine="0"/>
      <w:jc w:val="left"/>
      <w:outlineLvl w:val="0"/>
    </w:pPr>
    <w:rPr>
      <w:rFonts w:ascii="Times" w:eastAsia="Times New Roman" w:hAnsi="Times" w:cs="Zar"/>
      <w:b/>
      <w:bCs/>
      <w:kern w:val="32"/>
      <w:sz w:val="28"/>
      <w:szCs w:val="36"/>
    </w:rPr>
  </w:style>
  <w:style w:type="paragraph" w:styleId="Heading5">
    <w:name w:val="heading 5"/>
    <w:aliases w:val="چكيده راست چين"/>
    <w:link w:val="Heading5Char"/>
    <w:qFormat/>
    <w:rsid w:val="00AB4CF8"/>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AB4CF8"/>
    <w:rPr>
      <w:rFonts w:ascii="Times" w:eastAsia="Times New Roman" w:hAnsi="Times" w:cs="Zar"/>
      <w:b/>
      <w:bCs/>
      <w:kern w:val="32"/>
      <w:sz w:val="28"/>
      <w:szCs w:val="36"/>
    </w:rPr>
  </w:style>
  <w:style w:type="character" w:customStyle="1" w:styleId="Heading5Char">
    <w:name w:val="Heading 5 Char"/>
    <w:aliases w:val="چكيده راست چين Char"/>
    <w:basedOn w:val="DefaultParagraphFont"/>
    <w:link w:val="Heading5"/>
    <w:rsid w:val="00AB4CF8"/>
    <w:rPr>
      <w:rFonts w:ascii="Times" w:eastAsia="Times New Roman" w:hAnsi="Times" w:cs="Mitra"/>
      <w:b/>
      <w:bCs/>
      <w:kern w:val="16"/>
      <w:sz w:val="20"/>
      <w:szCs w:val="20"/>
    </w:rPr>
  </w:style>
  <w:style w:type="paragraph" w:styleId="Header">
    <w:name w:val="header"/>
    <w:basedOn w:val="Normal"/>
    <w:link w:val="HeaderChar"/>
    <w:rsid w:val="00AB4CF8"/>
    <w:pPr>
      <w:tabs>
        <w:tab w:val="center" w:pos="4153"/>
        <w:tab w:val="right" w:pos="8306"/>
      </w:tabs>
      <w:ind w:firstLine="0"/>
    </w:pPr>
    <w:rPr>
      <w:rFonts w:cs="Lotus"/>
      <w:bCs/>
      <w:szCs w:val="20"/>
    </w:rPr>
  </w:style>
  <w:style w:type="character" w:customStyle="1" w:styleId="HeaderChar">
    <w:name w:val="Header Char"/>
    <w:basedOn w:val="DefaultParagraphFont"/>
    <w:link w:val="Header"/>
    <w:rsid w:val="00AB4CF8"/>
    <w:rPr>
      <w:rFonts w:ascii="Times" w:eastAsia="Times New Roman" w:hAnsi="Times" w:cs="Lotus"/>
      <w:bCs/>
      <w:kern w:val="16"/>
      <w:szCs w:val="20"/>
    </w:rPr>
  </w:style>
  <w:style w:type="paragraph" w:styleId="Footer">
    <w:name w:val="footer"/>
    <w:basedOn w:val="Normal"/>
    <w:link w:val="FooterChar"/>
    <w:rsid w:val="00AB4CF8"/>
    <w:pPr>
      <w:tabs>
        <w:tab w:val="center" w:pos="4153"/>
        <w:tab w:val="right" w:pos="8306"/>
      </w:tabs>
    </w:pPr>
  </w:style>
  <w:style w:type="character" w:customStyle="1" w:styleId="FooterChar">
    <w:name w:val="Footer Char"/>
    <w:basedOn w:val="DefaultParagraphFont"/>
    <w:link w:val="Footer"/>
    <w:rsid w:val="00AB4CF8"/>
    <w:rPr>
      <w:rFonts w:ascii="Times" w:eastAsia="Times New Roman" w:hAnsi="Times" w:cs="Yagut"/>
      <w:kern w:val="16"/>
      <w:szCs w:val="24"/>
    </w:rPr>
  </w:style>
  <w:style w:type="character" w:styleId="PageNumber">
    <w:name w:val="page number"/>
    <w:basedOn w:val="DefaultParagraphFont"/>
    <w:rsid w:val="00AB4CF8"/>
  </w:style>
  <w:style w:type="paragraph" w:styleId="FootnoteText">
    <w:name w:val="footnote text"/>
    <w:basedOn w:val="Normal"/>
    <w:link w:val="FootnoteTextChar"/>
    <w:semiHidden/>
    <w:rsid w:val="00AB4CF8"/>
    <w:rPr>
      <w:rFonts w:cs="Lotus"/>
      <w:sz w:val="20"/>
      <w:szCs w:val="22"/>
    </w:rPr>
  </w:style>
  <w:style w:type="character" w:customStyle="1" w:styleId="FootnoteTextChar">
    <w:name w:val="Footnote Text Char"/>
    <w:basedOn w:val="DefaultParagraphFont"/>
    <w:link w:val="FootnoteText"/>
    <w:semiHidden/>
    <w:rsid w:val="00AB4CF8"/>
    <w:rPr>
      <w:rFonts w:ascii="Times" w:eastAsia="Times New Roman" w:hAnsi="Times" w:cs="Lotus"/>
      <w:kern w:val="16"/>
      <w:sz w:val="20"/>
    </w:rPr>
  </w:style>
  <w:style w:type="character" w:styleId="FootnoteReference">
    <w:name w:val="footnote reference"/>
    <w:basedOn w:val="DefaultParagraphFont"/>
    <w:semiHidden/>
    <w:rsid w:val="00AB4CF8"/>
    <w:rPr>
      <w:sz w:val="20"/>
      <w:vertAlign w:val="superscript"/>
    </w:rPr>
  </w:style>
  <w:style w:type="paragraph" w:customStyle="1" w:styleId="a">
    <w:name w:val="نويسنده"/>
    <w:link w:val="Char"/>
    <w:rsid w:val="00AB4CF8"/>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AB4CF8"/>
    <w:rPr>
      <w:rFonts w:ascii="Times" w:eastAsia="Times New Roman" w:hAnsi="Times" w:cs="Mitra"/>
      <w:bCs/>
      <w:kern w:val="32"/>
      <w:sz w:val="20"/>
      <w:szCs w:val="18"/>
    </w:rPr>
  </w:style>
  <w:style w:type="paragraph" w:customStyle="1" w:styleId="a0">
    <w:name w:val="چهارگوش فرد"/>
    <w:rsid w:val="00AB4CF8"/>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AB4CF8"/>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AB4CF8"/>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5138</Characters>
  <Application>Microsoft Office Word</Application>
  <DocSecurity>0</DocSecurity>
  <Lines>42</Lines>
  <Paragraphs>12</Paragraphs>
  <ScaleCrop>false</ScaleCrop>
  <Company>MRT Win2Farsi</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2013-09-09T07:21:00Z</dcterms:created>
  <dcterms:modified xsi:type="dcterms:W3CDTF">2013-09-09T07:21:00Z</dcterms:modified>
</cp:coreProperties>
</file>