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2C3" w:rsidRPr="0067591C" w:rsidRDefault="001D42C3" w:rsidP="00BD3082">
      <w:pPr>
        <w:pStyle w:val="Heading5"/>
        <w:pBdr>
          <w:top w:val="single" w:sz="6" w:space="8" w:color="CBE7F8"/>
          <w:left w:val="single" w:sz="6" w:space="8" w:color="CBE7F8"/>
          <w:bottom w:val="single" w:sz="6" w:space="8" w:color="CBE7F8"/>
          <w:right w:val="single" w:sz="6" w:space="8" w:color="CBE7F8"/>
        </w:pBdr>
        <w:bidi/>
        <w:jc w:val="both"/>
        <w:rPr>
          <w:rFonts w:ascii="Arial" w:hAnsi="Arial" w:cs="B Nazanin"/>
          <w:sz w:val="28"/>
          <w:szCs w:val="28"/>
          <w:rtl/>
        </w:rPr>
      </w:pPr>
      <w:r w:rsidRPr="0067591C">
        <w:rPr>
          <w:rFonts w:ascii="Arial" w:hAnsi="Arial" w:cs="B Nazanin"/>
          <w:sz w:val="28"/>
          <w:szCs w:val="28"/>
          <w:rtl/>
        </w:rPr>
        <w:t xml:space="preserve">خودشناسى </w:t>
      </w:r>
    </w:p>
    <w:tbl>
      <w:tblPr>
        <w:bidiVisual/>
        <w:tblW w:w="5000" w:type="pct"/>
        <w:tblCellSpacing w:w="0" w:type="dxa"/>
        <w:tblCellMar>
          <w:left w:w="0" w:type="dxa"/>
          <w:right w:w="0" w:type="dxa"/>
        </w:tblCellMar>
        <w:tblLook w:val="04A0"/>
      </w:tblPr>
      <w:tblGrid>
        <w:gridCol w:w="9027"/>
      </w:tblGrid>
      <w:tr w:rsidR="001D42C3" w:rsidRPr="0067591C" w:rsidTr="00FC52E0">
        <w:trPr>
          <w:tblCellSpacing w:w="0" w:type="dxa"/>
        </w:trPr>
        <w:tc>
          <w:tcPr>
            <w:tcW w:w="0" w:type="auto"/>
            <w:vAlign w:val="center"/>
            <w:hideMark/>
          </w:tcPr>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نقش شناخت در زندگى، مهم است و هر کس بر مبناى نوع معرفت و آگاهى و باورهاى خود زندگى مى کند، به داورى مى نشیند و عمل مى نماید. دایره شناخت هم وسیع است؛ مثل: خودشناسى، خداشناسى، زمان شناسى، دشمن شناسى، حجت شناسى، نعمت شناسى، سنت شناسى، مردم شناسى،... و بسیارى شناخت هاى دیگر.</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هر چه انسان براى کسب شناخت هاى صحیح، عمیق، گسترده و مفید، دقت صرف کند مى ارزد، چون سعادت او بستگى به نوع شناخت و عملش دارد. توجه به «شناخت هاى ضرورى و مفید»، ویژگى انسان هاى فهیم، بصیر و آینده نگر است.</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یکى از این شناخت هاى لازم و کارساز، شناخت «خود» است که در این پژوهش اندکى درباره آن توضیح داده مى دهیم.</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ابعاد خودشناسى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آدمى درباره «خود» از جنبه هاى متفاوتى مى تواند شناخت و آگاهى به دست آورد: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 جاى گاه انسان در مجموعه دستگاه خلقت؛</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 ارزش وجودى و کرامتِ انسانى او؛</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 استعدادهاى رشد و بالندگى در مسیر کمال وجودى؛</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 افکار، اندیشه ها و احساسات گوناگون انسان؛</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 عوامل تکامل معنوى و انحطاط اخلاقى و شناخت عیوب خویشتن؛</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 شگفتى هاى خلقت در اعضا و جوارح و اندام و دستگاه هاى بدن او؛</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 ... و بالأخره شناخت خود از جهت عمل ها، رفتارها، عادت ها و اخلاق و نیز ارزیابى سیر زندگى و نهایتى که به آن خواهد رسید و فرجامى که براى او در سایه اعمالش رقم خواهد خورد.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 xml:space="preserve">اگر خودشناسى به تعبیر حضرت على (ع)، سودمندترین معرفت ها به شمار آمده است: «معرفة النّفسِ انفعُ المعارفِ»،(1) به دلیل اهمیت و نقش آن در زندگى و سعادت انسان است و اگر آن حضرت فرموده است: «مَن عَرف نفسَه، عرفَ رَبَّه»،(2) به سبب آن است که انسان، جلوه اى از حکمت، قدرت، علم و اراده الهى </w:t>
            </w:r>
            <w:r w:rsidRPr="0067591C">
              <w:rPr>
                <w:rFonts w:ascii="Tahoma" w:hAnsi="Tahoma" w:cs="B Nazanin"/>
                <w:sz w:val="28"/>
                <w:szCs w:val="28"/>
                <w:rtl/>
              </w:rPr>
              <w:lastRenderedPageBreak/>
              <w:t>است و با شناخت خود از ابعاد مختلف، مى تواند به خداشناسى برسد.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از مجموع ابعاد یاد شده، فقط موضوع «شناخت استعدادهاى انسان» را بررسى و مطالعه مى کنیم تا شما نیز در ابعاد دیگر به پژوهش بپردازید و نتیجه تحقیق و مطالعه خود را بنگارید.</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استعدادهاى انسانى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انسان، این موجود شگفت انگیز و اسرارآمیز، استعدادهاى گوناگونى دارد که در هر یک از آنها مى تواند به درجات بالایى برسد و اگر این مواهب و استعدادها را بشناسد و آنها را به کار گیرد و در مسیر «هدف خلقت» از آنها بهره مند گردد، گامى به سوى مقصد برداشته است.</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الف) استعدادهاى جسمى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توان جسمى انسان بسیار بالاست، هم از نظر رشد و قوى شدن و هم از حیث انجام کارهاى خارق العاده. آنان که با ورزش و تمرینات بدنى، جسم خویش را قوى و عضلات خود را محکم و زیبا مى سازند، یا آنان که با حرکات شگفت ورزشى، آکروبات، پرش، وزنه بردارى، ژیمناستیک و امثال آن حیرت همگان را بر مى انگیزند، در واقع استعداد جسمى و بدنى خود را با تمرین و ممارست رشد داده اند. این توان در همه وجود دارد، لیکن برخى آن را به کار نمى گیرند.</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ب) استعدادهاى فکرى و ذهنى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مغز انسان از نظر درک و فهم، به خاطر سپارى مطالب، آموختن دانش، کشف مجهولات، یادآورى معلومات پیشین و آگاهى به پیچیده ترین مسائل علمى، یکى از آیات و نشانه هاى قدرت الهى است. بعضى افراد با به کارگیرى این استعداد، به حفظ قرآن، حفظ دیوان شعرا، حفظ هزاران شماره تلفن، تسلّط بر چندین زبان خارجى، آموختن علوم پیچیده و سنگین، رتبه آوردن در المپیادهاى مختلف، کشف و اختراع دستگاه هاى عجیب و... موفق مى شوند. صدها نمونه از فعالیت هاى خارق العاده ذهن و مغز و اندیشه انسان، گویاى آن است که آدمى ظرفیت بالایى دارد؛ پس باید از این موهبت ها بهره گرفت و استعدادها را تعطیل نکرد، یا در مسیر بیهوده و خطرناک، به کار نگماشت. این، کمترین حدّ سپاس از موهبت هاى الهى است.</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ج) استعدادهاى روحى و معنوى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 xml:space="preserve">از نظر رشد اخلاقى و معنوى، آراسته شدن به کمالات، پیراستن روح و روان از رذایل و نیز رسیدن به معنویت و اخلاص و عرفان، استعدادهاى شگفت و فراوانى در انسان وجود دارد. شناخت این میزان از توانِ روحى، راهنما و مشوّق انسان در پیمودن راه کمال است. اگر کسانى عبادت و پرستش را به طمع بهشت یا به دلیل ترس از عذاب دوزخ انجام مى دهند، کسانى هم فارغ از بهشت و دوزخ و بر اساس حبّ الهى و </w:t>
            </w:r>
            <w:r w:rsidRPr="0067591C">
              <w:rPr>
                <w:rFonts w:ascii="Tahoma" w:hAnsi="Tahoma" w:cs="B Nazanin"/>
                <w:sz w:val="28"/>
                <w:szCs w:val="28"/>
                <w:rtl/>
              </w:rPr>
              <w:lastRenderedPageBreak/>
              <w:t>سپاس از نعمت هایش او را مى پرستند که حضرت على (ع) از آن به« عبادت احرار» یاد مى کند.(3) به تعبیر شهید مطهرى:« آن اوّلى، بنده طمع خودش است و دومى، بنده ترس خودش، و این [عبد حرّ] است که از قید طمع و ترس آزاد است و فقط بنده خداست.»(4)</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کسانى اسیر دنیایند، کسانى هم از اسارت دنیا آزادند. یکى اسیر نفس است، یکى امیر نفس، و فاصله این دو بسیار است. رسیدن به رتبه «امیرى نفس»، هم در معصومین «علیهم السلام» است و هم در انسان هاى عارف و وارسته. گواه این سخن، استعداد روحى و معنوى در انسان است که قلمرو رشد معنوى و «طیران روحى» را مى نمایاند.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به هر حال، مقامات بالا که در آیات و روایات براى انسان بیان شده و تکلیف وى به پیمودن راه کمال که در تعالیم دینى است و الگوهاى متعالى انسانى که در این وادى ها به سیر و سلوک پرداخته و گام هاى بلندى برداشته اند، همه نشان مى دهد که چنین استعدادهایى در انسان وجود دارد، و الاّ اگر خارج از توان و ظرفیت وى بود، نه آن مراحل متعالى مطرح مى شد، نه از افراد مى خواستند که آن گونه باشند و نه چهره هاى الگو و شاخصى را داشتیم که «نمونه عملى» این ارزش ها و کمالات باشند.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کارهاى شگفتى که مرتاضان هندى با ریاضت هاى بدنى و دشوار انجام مى دهند، نتیجه همین تعالى بخشى روحى و گواه قدرت معنوى و روحى فوق العاده انسان است.</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انسان و تحول آفرینى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از مسائل مهم انسان شناسى و خودشناسى، قابلیت انسان براى ایجاد تغییر و تحول در خود و جامعه و جهان است و این به دلیل قدرت انتخاب و اراده قوى اوست که خداوند در نهاد وى به ودیعت و امانت سپرده است و مى تواند با این نیرو، معمار جان خویش و جهان پیرامون خود گردد.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میدان هاى تحول و تغییر آفرینى را مى توان این گونه بر شمرد:</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1) تحول و تغییر در خویشتن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در خودشناسى، این مسئله شایان توجه است که بدانیم ما سرنوشت از پیش تعیین شده اى نداریم که نتوانیم آن را عوض کنیم. ما با اراده و انتخاب، مى توانیم سر دو راهى هاى خیر و شرّ و هدایت و ضلالت، راه نیک یا بد را برگزینیم و بدین گونه در خودمان تغییر مثبت یا منفى پدید آوریم.</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به تعبیر شهید مطهرى: «انسان در انسان شناسى اسلام و در جهان شناسى اسلام، یک مرغِ ساخته و پرداخته قبلى که در فضاى عالم قدس پرواز مى کرده، نبوده است که بعد در این عالم، در قفس آمده باشد و وظیفه اش این باشد که فقط زندان را بشکند؛ اسلام این را قبول ندارد... .»(5)</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آن چه در مباحثى نظیر: کنترل خویشتن، محاسبه، مراقبه، نگهبانى از خطورات قلبى، مواظبت بر سلامت نیت و انگیزه، توبه و... مطرح است، زمینه هاى ایجاد تغییرات مثبت و مطلوب را در انسان نشان مى دهد و با توجه به این میدان هاست که باید خود را مستعدّ تحول بشناسیم و در این راه بکوشیم، نه آن که استعدادهاى خود را دفن کنیم و بال و پر پرواز خویش را قیچى نماییم.</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2) ایجاد تحول در دیگران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مقصود از «دیگران»، هم تک تک افرادى اند که با آنان برخورد داریم و هم افراد خانواده و دوستان و معاشران را شامل مى شود. انسان ها از یک دیگر تأثیر مى پذیرند و در سایه ارتباط با هم و الگوگیرى از یک دیگر، متحول مى شوند. این تحول آفرینى، گاهى با سخن و گفتار است، به خصوص اگر همراه با صفاى باطن و خلوص نیت باشد که دیگران را تحت تأثیر قرار مى دهد (سخن چون از دل بر آید/ لاجرم بر دل نشیند) و گاهى با «عمل» است.</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اثرپذیرى ما از عمل و رفتار دیگران، بیش از گفتار آنان است و اگر در توصیه هاى امامان (علیهم السلام) آمده است که: «کونوا دُعاةً للنّاسِ باعمالکم؛(6) دعوت گران مردم باشید، اما نه با زبان»، گویاى این قدرت تأثیر گذارى با «زبان» عمل» است؛ زبانى که بى نیاز از مترجم است و همه آن را مى فهمند.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به تعبیر بعضى از بزرگان: «تأثیر عمل یک انسان بر هزار نفر، بیش از تأثیر حرف هزار نفر بر یک فرد است».(7) این تعبیر هر چند مبالغه آمیز مى نماید، ولى گویاى تأثیر شگفت انگیز عمل است.</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انبیاى الهى نیز در شیوه تبلیغى خویش، هم «دعوتِ قولى» داشتند و هم «دعوت عملى» و از این رو افراد جامعه را متحول مى ساختند و از مشرکان خودخواه و مغرور، موحّدانى مخلص و متواضع تربیت مى کردند.</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3) متحول ساختن جامعه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انسان هاى بزرگ با روح متعالى و اراده استوارى که دارند، مى توانند یک جامعه را متحول سازند. کار بزرگ پیامبران، یک نمونه است. از شخصیت هاى غیر معصوم نیز مى توان افرادى همچون: سید جمال الدین اسدآبادى، اقبال لاهورى، امام خمینى و... را نام برد که در تغییر وضع عمومى جوامع و ایجاد تحولات عظیم و ریشه دار، نقش داشتند و امت اسلامى را بیدار و آگاه ساختند و با بسیج مردم علیه ستم و استعمار، نهضتى بنیادین را پى ریزى کردند. امام راحل (ره) توانست فرهنگ عمومى و نگرش سیاسى مسلمانان را تحول بخشد و یک جامعه اسیر و برده و خودباخته را آزاد و مستقل سازد و احساس عزّت و اعتماد به نفس را در آنان پدید آورد، یا تقویت کند.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این نشان مى دهد که در انسان، استعداد تحول آفرینى در جوامع وجود دارد و همه مصلحان بزرگ تاریخ و رهبران نهضت ها و بنیان گذاران انقلاب ها، از این دسته اند. خداوند در قرآن کریم حضرت ابراهیم را «یک امت» مى خواند و مى فرماید: «اِنّ ابراهیمَ کانَ امّةً قانتاً للّه».(8) پس انسان مى تواند در حدّ یک امت ایفاى نقش کند، به شرط آن که توان مندى هاى خود را بشناسد و به آنها ایمان و اعتماد داشته باشد و در صحنه زندگى اجتماعى به کار گیرد.</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4) تغییر در سرنوشت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پیش تر هم اشاره شد که انسان، محکومِ یک جبر از پیش تعیین شده نیست. اگر در خودش تحول و تغییر لازم را پدید آورد، سرنوشت او هم دگرگون مى شود؛ هم سرنوشت فردى و هم سرنوشت اجتماعى.</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چرا مسئله شب قدر به آن اندازه مهم است و ارزشى برابر «هزار ماه» و بلکه بیشتر از آن دارد؟ مگر مقدّرات انسان در آن شب، جداى از تصمیم و عمل و توبه و وضع روحى و رفتارى وى رقم مى خورد؟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درباره تغییر سرنوشت اجتماعى، این آیه قرآن مشهور است که: «اِنّ اللّه لا یغیّر ما بِقومٍ حتّى یُغَیّروا ما بِأنفسهم؛(9) خداوند وضعیت هیچ قومى را تغییر نمى دهد، مگر آن که خودشان در وضع خود دگرگونى پدید آورند»؛ یعنى تحول در فکر، اراده، روح، رفتار و عمل ما، به تغییر سرنوشت اجتماعى مان منتهى مى شود. پس انسان، استعداد تغییر در سرنوشت خود را نیز دارد و تا این «تحول درونى» را پدید نیاورد، «سرنوشت» او به گونه اى نو رقم نخواهد خورد.</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5) قدرت انتخاب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در قرآن از امانتى عظیم یاد شده که انسان آن را به دوش کشیده است: «اِنّا عرضنا الأمانة...».(10)</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آسمان بار امانت نتوانست کشید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قرعه فال به نام من دیوانه زدند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به مقتضاى برخى تفاسیر، این امانت، همان تکلیف الهى و اراده و انتخاب گرى انسان در پذیرش یا عدم قبول حق است.(11) هدایت به خیر و شرّ و پیمودن راه نیک و بد براى انسان، مهیّاست. این خود اوست که کدام را برگزیند و البته هر چه را انتخاب کند، مسئول عواقب و فرجام آن نیز خواهد بود. کسى همچون «حرّ» که فرمانده لشکر هزار نفرى سپاه کوفه بود و راه را بر امام حسین (ع) بست و مانع شد تا آن حضرت به سوى کوفه برود، در صبح عاشورا با یک «انتخاب شایسته» خود را از جبهه سیاه ستم رها ساخت و به جبهه نورانى حق رساند و شهید راه خدا گشت و نامى جاوید و عزّت ابدى یافت.</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هر کس در زندگى مى تواند «حرّ» باشد یا «حرّ» شود، به شرط آن که به جاى گاه والاى قدرت انتخاب گرى خویش واقف باشد و خود را انسانى مختار بشناسد. همین انتخاب است که در سرنوشت افراد و جوامع، «تحولات» را رقم مى زند و تغییرات اساسى ایجاد مى کند.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به هر حال، انسان در قلمرو «خودشناسى» و توجه به استعدادهاى خویش، علاوه بر دست یابى به معرفت هاى مهم مى تواند گام هاى بلندى نیز در مسیر کمال بردارد. این است که شناخت خویش را از مهم ترین و مفیدترین شناخت ها مى شناسیم و بر آن تأکید داریم و آن را مقدمه «خودسازى» مى دانیم.</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پایان این پژوهش را کلامى از استاد شهید مرتضى مطهرى قرار مى دهیم که مى نویسد: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«انسان، نقشى فعال تر و مؤثّرتر و گسترده تر در ساختن آینده خویش دارد. نقش انسان، هم آگاهانه است، هم آزادانه؛ یعنى انسان هم به خود و محیط خود آگاه است، هم آن که با توجه به آینده، به حکم نیروى عقل و اراده، مى تواند آزادانه آینده خویش را به هر شکل که خود بخواهد انتخاب کند. دایره ایفاى نقش براى انسان نسبت به حیوان، بسى وسیع تر و گسترده تر است. گستردگى دایره سازندگى انسان نسبت به آینده اش، از سه ویژگى در انسان سرچشمه مى گیرد: 1 - وسعت دایره بینش و آگاهى...؛ 2 - وسعت دامنه خواست ها ؛ 3 - استعداد خودساختگى ویژه اى که در انسان است و هیچ موجود دیگرى در این جهت مانند او نیست... انسان، یگانه موجودى است که قانون خلقت، قلم ترسیم چهره او را به دست خودش داده است که هر طور مى خواهد ترسیم کند... .»(12)</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محورهاى پژوهش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لطفاً فقط یکى از محورهاى زیر را انتخاب کرده و درباره آن مقاله بنویسید.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 . اهمیت و ارزش خودشناسى از دیدگاه اسلام و روان شناسى.</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2 . شناخت عوامل تأثیرگذار بر شکل گیرى شخصیت انسان.</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3 . استعدادهاى تربیتى و رشد در انسان.</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4 . رابطه خودشناسى و خداشناسى.</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منابع پژوهش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 . شهید مطهرى، کتاب هاى: تعلیم و تربیت در اسلام، انسان و ایمان، انسان در قرآن (مقدمه اى بر جهان بینى)، انسان کامل.</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2 . غررالحکم و دررالکلم، ج 7، عنوانِ خودشناسى = معرفة النفس.</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3 . میزان الحکمه، عنوانِ 346 (معرفة النفس).</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4 . آیة الله حسن زاده آملى، معرفت نفس.</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5 . احمد حبیبیان، مرورى بر روان آدمى از دیدگاه اسلام.</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6 . جواد محدّثى، گامى در مسیر.</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7 . حائرى شیرازى، کتاب هاى: انسان شناسى، تربیت اسلامى.</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8 . محمدتقى مصباح یزدى، کتاب هاى: خودشناسى براى خودسازى، به سوى خودسازى.</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9 . على شیرازى، انسان شناسى.</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مراحل و نحوه تدوین پژوهش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 . ابتدا منابع معرفى شده یا منابع دیگر را مطالعه کرده و مطالب مورد نیاز را در برگه هایى جداگانه یادداشت کنید (فیش بردارى).</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2 . آن گاه یادداشت ها را با توجه به اصول نگارش مقاله، رده بندى و تنظیم نمایید.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3 . سپس مطالب آماده شده را تکمیل کنید. تجزیه و تحلیل، استدلال، نقد و پرورش مطالب در این قسمت انجام مى شود.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4 . پس از تکمیل مطالب، آنها را به صورت یک نوشته منسجم درآورید. دقت کنید هر بحثى باید در جایگاه مخصوص خود قرار گیرد.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5 . نوشته تنظیم شده را چندین بار مطالعه و بازنگرى کرده و خطاهاى نگارشى احتمالى را برطرف و سپس آن را پاک نویس کنید.</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نکات مهم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 . براى علاقه مندان به تحقیق و مقاله نویسى، دو موضوع پژوهش در نظر گرفته شده است که شما مى توانید با توجه به استعداد، فرصت و توان علمى خویش، یکى از آنها را به اختیار انتخاب کرده و مقاله بنویسید.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2 . تهیه و ارسال منابع معرفى شده، در توان ما نیست. شما مى توانید با مراجعه به کتاب خانه ها، دوستان و...، منابع مزبور و یا کتاب هاى مناسب دیگرى را تهیه کرده و مقاله خود را آماده سازید.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3 . لطفاً مقاله هاى خود را با خط خوانا و حتماً بر روى یک طرف کاغذ بنویسید.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4 . براى سهولت در ارزیابى مقاله، پاورقى هاى هر صفحه را در پایین همان صفحه یادداشت نمایید.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5 . در صورتى که نوشته ارسالى صرفاً رونویسى از منابع باشد، امتیازى نخواهد داشت.</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6 . به مقاله هایى که خارج از موضوعات پیشنهادى مجله باشد، ترتیب اثر داده نمى شود.</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7 . مطالب اقتباس شده از دیگران را حتماً با مشخصات کامل بیاورید، در غیر این صورت از امتیاز مقاله کاسته خواهد شد.</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 xml:space="preserve">معیارهاى ارزیابى پژوهش </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 عنوان بندى دقیق بحث با ترتیبى منطقى 2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2 تمرکز در موضوع بحث و منحرف نشدن از آن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3 بیان مستدل و علمى مطالب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4 مبتنى بودن بحث بر تجزیه و تحلیل علمى و پرورش معانى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5 بهره گیرى از حکمت و داستان، شعر، مثال و...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6 توازن حجم مطالب در محورهاى مختلف بحث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7 مطابق با واقع بودن مطالب و دقت در ارائه صحیح آنها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8 استفاده به جا از آیات و احادیث و صحیح نوشتن آنها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9 سادگى و روانى قلم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10 تناسب سبک نوشتارى مقاله با موضوع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11 رعایت عفت قلم و ادب اسلامى و پرهیز از عبارات زاید و نادرست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12 نوآورى در ارائه مطالب و شیوه نگارش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13 بهره گیرى از منابع معتبر، ذکر آدرس دقیق مطالب و نقل قول ها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14 استفاده از معلومات شخصى در تدوین مقاله 2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15 رعایت اصول نگارش، علائم سجاوندى و تنظیم فنى پاورقى ها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 xml:space="preserve">16 در حد یک مقاله بودن (حداقل پنج صفحه و حداکثر ده صفحه </w:t>
            </w:r>
            <w:r w:rsidRPr="0067591C">
              <w:rPr>
                <w:rFonts w:ascii="Tahoma" w:hAnsi="Tahoma" w:cs="B Nazanin"/>
                <w:sz w:val="28"/>
                <w:szCs w:val="28"/>
              </w:rPr>
              <w:t>A</w:t>
            </w:r>
            <w:r w:rsidRPr="0067591C">
              <w:rPr>
                <w:rFonts w:ascii="Tahoma" w:hAnsi="Tahoma" w:cs="B Nazanin"/>
                <w:sz w:val="28"/>
                <w:szCs w:val="28"/>
                <w:rtl/>
              </w:rPr>
              <w:t>4</w:t>
            </w:r>
            <w:r w:rsidRPr="0067591C">
              <w:rPr>
                <w:rFonts w:ascii="Tahoma" w:hAnsi="Tahoma" w:cs="B Nazanin"/>
                <w:sz w:val="28"/>
                <w:szCs w:val="28"/>
              </w:rPr>
              <w:t xml:space="preserve">) </w:t>
            </w:r>
            <w:r w:rsidRPr="0067591C">
              <w:rPr>
                <w:rFonts w:ascii="Tahoma" w:hAnsi="Tahoma" w:cs="B Nazanin"/>
                <w:sz w:val="28"/>
                <w:szCs w:val="28"/>
                <w:rtl/>
              </w:rPr>
              <w:t>1</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17 نوشتن بر یک طرف کاغذ، رعایت فاصله بین سطرها و خوانا بودن امتیاز1</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18 نتیجه گیرى از بحث 1 امتیاز</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 جمع کل 20 امتیاز</w:t>
            </w:r>
          </w:p>
          <w:p w:rsidR="001D42C3" w:rsidRPr="0067591C" w:rsidRDefault="001D42C3" w:rsidP="00BD3082">
            <w:pPr>
              <w:pStyle w:val="Heading3"/>
              <w:bidi/>
              <w:jc w:val="both"/>
              <w:rPr>
                <w:rFonts w:ascii="Tahoma" w:hAnsi="Tahoma" w:cs="B Nazanin"/>
                <w:sz w:val="28"/>
                <w:szCs w:val="28"/>
                <w:rtl/>
              </w:rPr>
            </w:pPr>
            <w:r w:rsidRPr="0067591C">
              <w:rPr>
                <w:rFonts w:cs="B Nazanin"/>
                <w:sz w:val="28"/>
                <w:szCs w:val="28"/>
                <w:rtl/>
              </w:rPr>
              <w:t>پى نوشت ها:</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 غررالحکم و دررالکلم، شماره 9865.</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2) همان، 7946.</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3) نهج البلاغه صبحى صالح، حکمت 237.</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4) تعلیم و تربیت در اسلام، ص 204.</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5) انسان کامل، ص 124.</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6) الحیاة، ج 1، ص 290.</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7) تفسیر فخر رازى، ج 3، ص 48.</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8) نحل (16) آیه 120.</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9) رعد (13) آیه 11.</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10) احزاب (33) آیه 73.</w:t>
            </w:r>
          </w:p>
          <w:p w:rsidR="001D42C3" w:rsidRPr="0067591C" w:rsidRDefault="001D42C3" w:rsidP="00BD3082">
            <w:pPr>
              <w:pStyle w:val="NormalWeb"/>
              <w:bidi/>
              <w:jc w:val="both"/>
              <w:rPr>
                <w:rFonts w:ascii="Tahoma" w:hAnsi="Tahoma" w:cs="B Nazanin"/>
                <w:sz w:val="28"/>
                <w:szCs w:val="28"/>
                <w:rtl/>
              </w:rPr>
            </w:pPr>
            <w:r w:rsidRPr="0067591C">
              <w:rPr>
                <w:rFonts w:ascii="Tahoma" w:hAnsi="Tahoma" w:cs="B Nazanin"/>
                <w:sz w:val="28"/>
                <w:szCs w:val="28"/>
                <w:rtl/>
              </w:rPr>
              <w:t>11) تفسیر المیزان، ج 16، ص 371.</w:t>
            </w:r>
          </w:p>
          <w:p w:rsidR="001D42C3" w:rsidRPr="0067591C" w:rsidRDefault="001D42C3" w:rsidP="00BD3082">
            <w:pPr>
              <w:pStyle w:val="NormalWeb"/>
              <w:bidi/>
              <w:jc w:val="both"/>
              <w:rPr>
                <w:rFonts w:ascii="Tahoma" w:hAnsi="Tahoma" w:cs="B Nazanin"/>
                <w:sz w:val="28"/>
                <w:szCs w:val="28"/>
              </w:rPr>
            </w:pPr>
            <w:r w:rsidRPr="0067591C">
              <w:rPr>
                <w:rFonts w:ascii="Tahoma" w:hAnsi="Tahoma" w:cs="B Nazanin"/>
                <w:sz w:val="28"/>
                <w:szCs w:val="28"/>
                <w:rtl/>
              </w:rPr>
              <w:t>12) انسان در قرآن، ص 39.</w:t>
            </w:r>
          </w:p>
        </w:tc>
      </w:tr>
    </w:tbl>
    <w:p w:rsidR="001D42C3" w:rsidRPr="0067591C" w:rsidRDefault="001D42C3" w:rsidP="00BD3082">
      <w:pPr>
        <w:bidi/>
        <w:jc w:val="both"/>
        <w:rPr>
          <w:rFonts w:cs="B Nazanin"/>
          <w:b/>
          <w:bCs/>
          <w:color w:val="A52A2A"/>
          <w:sz w:val="28"/>
          <w:szCs w:val="28"/>
          <w:rtl/>
        </w:rPr>
      </w:pPr>
      <w:r w:rsidRPr="0067591C">
        <w:rPr>
          <w:rFonts w:cs="B Nazanin"/>
          <w:b/>
          <w:bCs/>
          <w:color w:val="A52A2A"/>
          <w:sz w:val="28"/>
          <w:szCs w:val="28"/>
          <w:rtl/>
        </w:rPr>
        <w:lastRenderedPageBreak/>
        <w:t>پدیدآورنده: جواد محدّثى</w:t>
      </w:r>
    </w:p>
    <w:p w:rsidR="002B6D17" w:rsidRPr="0067591C" w:rsidRDefault="002B6D17" w:rsidP="00BD3082">
      <w:pPr>
        <w:bidi/>
        <w:jc w:val="both"/>
        <w:rPr>
          <w:rFonts w:cs="B Nazanin"/>
          <w:sz w:val="28"/>
          <w:szCs w:val="28"/>
        </w:rPr>
      </w:pPr>
    </w:p>
    <w:sectPr w:rsidR="002B6D17" w:rsidRPr="0067591C" w:rsidSect="0067591C">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seFELayout/>
  </w:compat>
  <w:rsids>
    <w:rsidRoot w:val="001D42C3"/>
    <w:rsid w:val="001D42C3"/>
    <w:rsid w:val="002B6D17"/>
    <w:rsid w:val="0067591C"/>
    <w:rsid w:val="00BD3082"/>
    <w:rsid w:val="00DE6DF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D17"/>
  </w:style>
  <w:style w:type="paragraph" w:styleId="Heading3">
    <w:name w:val="heading 3"/>
    <w:basedOn w:val="Normal"/>
    <w:next w:val="Normal"/>
    <w:link w:val="Heading3Char"/>
    <w:uiPriority w:val="9"/>
    <w:semiHidden/>
    <w:unhideWhenUsed/>
    <w:qFormat/>
    <w:rsid w:val="001D42C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D42C3"/>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D42C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1D42C3"/>
    <w:rPr>
      <w:rFonts w:ascii="Tahoma" w:eastAsia="Times New Roman" w:hAnsi="Tahoma" w:cs="Tahoma"/>
      <w:b/>
      <w:bCs/>
      <w:sz w:val="20"/>
      <w:szCs w:val="20"/>
    </w:rPr>
  </w:style>
  <w:style w:type="paragraph" w:styleId="NormalWeb">
    <w:name w:val="Normal (Web)"/>
    <w:basedOn w:val="Normal"/>
    <w:uiPriority w:val="99"/>
    <w:unhideWhenUsed/>
    <w:rsid w:val="001D42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2121</Words>
  <Characters>12093</Characters>
  <Application>Microsoft Office Word</Application>
  <DocSecurity>0</DocSecurity>
  <Lines>100</Lines>
  <Paragraphs>28</Paragraphs>
  <ScaleCrop>false</ScaleCrop>
  <Company/>
  <LinksUpToDate>false</LinksUpToDate>
  <CharactersWithSpaces>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5</cp:revision>
  <dcterms:created xsi:type="dcterms:W3CDTF">2012-09-18T04:14:00Z</dcterms:created>
  <dcterms:modified xsi:type="dcterms:W3CDTF">2013-01-24T17:34:00Z</dcterms:modified>
</cp:coreProperties>
</file>